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B1" w:rsidRDefault="00EC16B1" w:rsidP="00E7634B">
      <w:pPr>
        <w:jc w:val="center"/>
        <w:rPr>
          <w:rFonts w:ascii="Arial Narrow" w:hAnsi="Arial Narrow" w:cs="Arial"/>
          <w:b/>
        </w:rPr>
      </w:pPr>
    </w:p>
    <w:p w:rsidR="00E65711" w:rsidRPr="00C71481" w:rsidRDefault="00E65711" w:rsidP="00E7634B">
      <w:pPr>
        <w:jc w:val="center"/>
        <w:rPr>
          <w:rFonts w:ascii="Arial Narrow" w:hAnsi="Arial Narrow" w:cs="Arial"/>
          <w:b/>
          <w:u w:val="single"/>
        </w:rPr>
      </w:pPr>
      <w:r w:rsidRPr="00C71481">
        <w:rPr>
          <w:rFonts w:ascii="Arial Narrow" w:hAnsi="Arial Narrow" w:cs="Arial"/>
          <w:b/>
          <w:u w:val="single"/>
        </w:rPr>
        <w:t xml:space="preserve">Selected </w:t>
      </w:r>
      <w:r w:rsidR="00C71481" w:rsidRPr="00C71481">
        <w:rPr>
          <w:rFonts w:ascii="Arial Narrow" w:hAnsi="Arial Narrow" w:cs="Arial"/>
          <w:b/>
          <w:u w:val="single"/>
        </w:rPr>
        <w:t>Legislation</w:t>
      </w:r>
      <w:r w:rsidRPr="00C71481">
        <w:rPr>
          <w:rFonts w:ascii="Arial Narrow" w:hAnsi="Arial Narrow" w:cs="Arial"/>
          <w:b/>
          <w:u w:val="single"/>
        </w:rPr>
        <w:t xml:space="preserve"> from the 2017 Legislative Session</w:t>
      </w:r>
    </w:p>
    <w:p w:rsidR="00E65711" w:rsidRDefault="00E65711" w:rsidP="00E7634B">
      <w:pPr>
        <w:jc w:val="center"/>
        <w:rPr>
          <w:rFonts w:ascii="Arial Narrow" w:hAnsi="Arial Narrow" w:cs="Arial"/>
          <w:b/>
        </w:rPr>
      </w:pPr>
      <w:r>
        <w:rPr>
          <w:rFonts w:ascii="Arial Narrow" w:hAnsi="Arial Narrow" w:cs="Arial"/>
          <w:b/>
        </w:rPr>
        <w:t>WaCASA Conference: November 3, 2018</w:t>
      </w:r>
    </w:p>
    <w:p w:rsidR="00FD2B3D" w:rsidRDefault="00FD2B3D" w:rsidP="00E7634B">
      <w:pPr>
        <w:jc w:val="center"/>
        <w:rPr>
          <w:rFonts w:ascii="Arial Narrow" w:hAnsi="Arial Narrow" w:cs="Arial"/>
          <w:b/>
        </w:rPr>
      </w:pPr>
    </w:p>
    <w:p w:rsidR="00491B7D" w:rsidRPr="00B3514F" w:rsidRDefault="00FD2B3D" w:rsidP="00E7634B">
      <w:pPr>
        <w:jc w:val="center"/>
        <w:rPr>
          <w:rFonts w:ascii="Arial Narrow" w:hAnsi="Arial Narrow" w:cs="Arial"/>
          <w:b/>
        </w:rPr>
      </w:pPr>
      <w:r>
        <w:rPr>
          <w:rFonts w:ascii="Arial Narrow" w:hAnsi="Arial Narrow" w:cs="Arial"/>
          <w:b/>
        </w:rPr>
        <w:t>Presented b</w:t>
      </w:r>
      <w:r w:rsidR="00C71481">
        <w:rPr>
          <w:rFonts w:ascii="Arial Narrow" w:hAnsi="Arial Narrow" w:cs="Arial"/>
          <w:b/>
        </w:rPr>
        <w:t>y Carissa Greenberg, AAG</w:t>
      </w:r>
      <w:r>
        <w:rPr>
          <w:rFonts w:ascii="Arial Narrow" w:hAnsi="Arial Narrow" w:cs="Arial"/>
          <w:b/>
        </w:rPr>
        <w:t xml:space="preserve">, Office of the Attorney General </w:t>
      </w:r>
    </w:p>
    <w:p w:rsidR="00EC16B1" w:rsidRPr="00B3514F" w:rsidRDefault="00EC16B1">
      <w:pPr>
        <w:rPr>
          <w:rFonts w:ascii="Arial Narrow" w:hAnsi="Arial Narrow"/>
        </w:rPr>
      </w:pPr>
    </w:p>
    <w:tbl>
      <w:tblPr>
        <w:tblStyle w:val="TableGrid"/>
        <w:tblW w:w="5000" w:type="pct"/>
        <w:jc w:val="center"/>
        <w:tblLook w:val="04A0" w:firstRow="1" w:lastRow="0" w:firstColumn="1" w:lastColumn="0" w:noHBand="0" w:noVBand="1"/>
      </w:tblPr>
      <w:tblGrid>
        <w:gridCol w:w="1384"/>
        <w:gridCol w:w="1851"/>
        <w:gridCol w:w="6115"/>
      </w:tblGrid>
      <w:tr w:rsidR="003E404B" w:rsidRPr="00B3514F" w:rsidTr="00676115">
        <w:trPr>
          <w:jc w:val="center"/>
        </w:trPr>
        <w:tc>
          <w:tcPr>
            <w:tcW w:w="740" w:type="pct"/>
            <w:vAlign w:val="center"/>
          </w:tcPr>
          <w:p w:rsidR="00E65711" w:rsidRPr="00B3514F" w:rsidRDefault="00E65711" w:rsidP="00E7634B">
            <w:pPr>
              <w:jc w:val="center"/>
              <w:rPr>
                <w:rFonts w:ascii="Arial Narrow" w:hAnsi="Arial Narrow"/>
                <w:b/>
              </w:rPr>
            </w:pPr>
            <w:r w:rsidRPr="00B3514F">
              <w:rPr>
                <w:rFonts w:ascii="Arial Narrow" w:hAnsi="Arial Narrow"/>
                <w:b/>
              </w:rPr>
              <w:t>Bill</w:t>
            </w:r>
          </w:p>
          <w:p w:rsidR="00E65711" w:rsidRPr="00B3514F" w:rsidRDefault="00E65711" w:rsidP="006F206B">
            <w:pPr>
              <w:jc w:val="center"/>
              <w:rPr>
                <w:rFonts w:ascii="Arial Narrow" w:hAnsi="Arial Narrow"/>
                <w:b/>
              </w:rPr>
            </w:pPr>
            <w:r w:rsidRPr="00B3514F">
              <w:rPr>
                <w:rFonts w:ascii="Arial Narrow" w:hAnsi="Arial Narrow"/>
                <w:b/>
              </w:rPr>
              <w:t xml:space="preserve">Number </w:t>
            </w:r>
          </w:p>
        </w:tc>
        <w:tc>
          <w:tcPr>
            <w:tcW w:w="990" w:type="pct"/>
            <w:vAlign w:val="center"/>
          </w:tcPr>
          <w:p w:rsidR="00E65711" w:rsidRPr="00B3514F" w:rsidRDefault="00E65711" w:rsidP="00E7634B">
            <w:pPr>
              <w:jc w:val="center"/>
              <w:rPr>
                <w:rFonts w:ascii="Arial Narrow" w:hAnsi="Arial Narrow"/>
                <w:b/>
              </w:rPr>
            </w:pPr>
            <w:r w:rsidRPr="00B3514F">
              <w:rPr>
                <w:rFonts w:ascii="Arial Narrow" w:hAnsi="Arial Narrow"/>
                <w:b/>
              </w:rPr>
              <w:t>Statutes</w:t>
            </w:r>
          </w:p>
          <w:p w:rsidR="00E65711" w:rsidRPr="00B3514F" w:rsidRDefault="00E65711" w:rsidP="00E7634B">
            <w:pPr>
              <w:jc w:val="center"/>
              <w:rPr>
                <w:rFonts w:ascii="Arial Narrow" w:hAnsi="Arial Narrow"/>
                <w:b/>
              </w:rPr>
            </w:pPr>
            <w:r w:rsidRPr="00B3514F">
              <w:rPr>
                <w:rFonts w:ascii="Arial Narrow" w:hAnsi="Arial Narrow"/>
                <w:b/>
              </w:rPr>
              <w:t>Impacted</w:t>
            </w:r>
          </w:p>
        </w:tc>
        <w:tc>
          <w:tcPr>
            <w:tcW w:w="3270" w:type="pct"/>
            <w:vAlign w:val="center"/>
          </w:tcPr>
          <w:p w:rsidR="00E65711" w:rsidRPr="00B3514F" w:rsidRDefault="00E65711" w:rsidP="00E7634B">
            <w:pPr>
              <w:jc w:val="center"/>
              <w:rPr>
                <w:rFonts w:ascii="Arial Narrow" w:hAnsi="Arial Narrow"/>
                <w:b/>
              </w:rPr>
            </w:pPr>
            <w:r w:rsidRPr="00B3514F">
              <w:rPr>
                <w:rFonts w:ascii="Arial Narrow" w:hAnsi="Arial Narrow"/>
                <w:b/>
              </w:rPr>
              <w:t>Description</w:t>
            </w:r>
          </w:p>
        </w:tc>
      </w:tr>
      <w:tr w:rsidR="003E404B" w:rsidRPr="00B3514F" w:rsidTr="00676115">
        <w:trPr>
          <w:jc w:val="center"/>
        </w:trPr>
        <w:tc>
          <w:tcPr>
            <w:tcW w:w="740" w:type="pct"/>
          </w:tcPr>
          <w:p w:rsidR="00E65711" w:rsidRPr="00B3514F" w:rsidRDefault="00B04A68">
            <w:pPr>
              <w:rPr>
                <w:rFonts w:ascii="Arial Narrow" w:hAnsi="Arial Narrow"/>
              </w:rPr>
            </w:pPr>
            <w:hyperlink r:id="rId9" w:anchor="page=1" w:history="1">
              <w:r w:rsidR="00E65711" w:rsidRPr="00B3514F">
                <w:rPr>
                  <w:rStyle w:val="Hyperlink"/>
                  <w:rFonts w:ascii="Arial Narrow" w:hAnsi="Arial Narrow"/>
                </w:rPr>
                <w:t>ESSB 6037</w:t>
              </w:r>
            </w:hyperlink>
          </w:p>
          <w:p w:rsidR="00E65711" w:rsidRPr="00B3514F" w:rsidRDefault="00E65711">
            <w:pPr>
              <w:rPr>
                <w:rFonts w:ascii="Arial Narrow" w:hAnsi="Arial Narrow"/>
              </w:rPr>
            </w:pPr>
          </w:p>
          <w:p w:rsidR="00E65711" w:rsidRPr="00B3514F" w:rsidRDefault="00E65711">
            <w:pPr>
              <w:rPr>
                <w:rFonts w:ascii="Arial Narrow" w:hAnsi="Arial Narrow"/>
              </w:rPr>
            </w:pPr>
            <w:r w:rsidRPr="00B3514F">
              <w:rPr>
                <w:rFonts w:ascii="Arial Narrow" w:hAnsi="Arial Narrow"/>
              </w:rPr>
              <w:t>Eff. 01/01/2019</w:t>
            </w:r>
          </w:p>
          <w:p w:rsidR="00E65711" w:rsidRPr="00B3514F" w:rsidRDefault="00E65711">
            <w:pPr>
              <w:rPr>
                <w:rFonts w:ascii="Arial Narrow" w:hAnsi="Arial Narrow"/>
                <w:u w:val="single"/>
              </w:rPr>
            </w:pPr>
          </w:p>
        </w:tc>
        <w:tc>
          <w:tcPr>
            <w:tcW w:w="990" w:type="pct"/>
          </w:tcPr>
          <w:p w:rsidR="00E65711" w:rsidRPr="00B3514F" w:rsidRDefault="003E404B" w:rsidP="00710F10">
            <w:pPr>
              <w:rPr>
                <w:rFonts w:ascii="Arial Narrow" w:hAnsi="Arial Narrow"/>
              </w:rPr>
            </w:pPr>
            <w:r>
              <w:rPr>
                <w:rFonts w:ascii="Arial Narrow" w:hAnsi="Arial Narrow"/>
              </w:rPr>
              <w:t>Ch.</w:t>
            </w:r>
            <w:r w:rsidR="00E65711" w:rsidRPr="00B3514F">
              <w:rPr>
                <w:rFonts w:ascii="Arial Narrow" w:hAnsi="Arial Narrow"/>
              </w:rPr>
              <w:t xml:space="preserve"> 26.26 </w:t>
            </w:r>
            <w:r>
              <w:rPr>
                <w:rFonts w:ascii="Arial Narrow" w:hAnsi="Arial Narrow"/>
              </w:rPr>
              <w:t xml:space="preserve">RCW </w:t>
            </w:r>
            <w:r w:rsidR="00E65711" w:rsidRPr="00B3514F">
              <w:rPr>
                <w:rFonts w:ascii="Arial Narrow" w:hAnsi="Arial Narrow"/>
              </w:rPr>
              <w:t>+</w:t>
            </w:r>
          </w:p>
          <w:p w:rsidR="00E65711" w:rsidRPr="00B3514F" w:rsidRDefault="00E65711" w:rsidP="00710F10">
            <w:pPr>
              <w:rPr>
                <w:rFonts w:ascii="Arial Narrow" w:hAnsi="Arial Narrow"/>
              </w:rPr>
            </w:pPr>
            <w:r w:rsidRPr="00B3514F">
              <w:rPr>
                <w:rFonts w:ascii="Arial Narrow" w:hAnsi="Arial Narrow"/>
              </w:rPr>
              <w:t>Creates new statutes</w:t>
            </w:r>
          </w:p>
        </w:tc>
        <w:tc>
          <w:tcPr>
            <w:tcW w:w="3270" w:type="pct"/>
          </w:tcPr>
          <w:p w:rsidR="00E65711" w:rsidRPr="001849A0" w:rsidRDefault="00E65711" w:rsidP="00E65711">
            <w:pPr>
              <w:rPr>
                <w:rFonts w:ascii="Arial Narrow" w:hAnsi="Arial Narrow"/>
                <w:b/>
              </w:rPr>
            </w:pPr>
            <w:r w:rsidRPr="00B3514F">
              <w:rPr>
                <w:rFonts w:ascii="Arial Narrow" w:hAnsi="Arial Narrow"/>
              </w:rPr>
              <w:t>Revises various provisions regarding establishing and challenging parentage under the Uniform Parentage Act (UPA). Addresses parentage in surrogacy, assisted reproduction, de facto parentage, competing claims of parentage, and assisted reproduction</w:t>
            </w:r>
          </w:p>
        </w:tc>
      </w:tr>
      <w:tr w:rsidR="003E404B" w:rsidRPr="00B3514F" w:rsidTr="00676115">
        <w:trPr>
          <w:jc w:val="center"/>
        </w:trPr>
        <w:tc>
          <w:tcPr>
            <w:tcW w:w="740" w:type="pct"/>
          </w:tcPr>
          <w:p w:rsidR="00E65711" w:rsidRPr="00B3514F" w:rsidRDefault="00B04A68">
            <w:pPr>
              <w:rPr>
                <w:rFonts w:ascii="Arial Narrow" w:hAnsi="Arial Narrow"/>
              </w:rPr>
            </w:pPr>
            <w:hyperlink r:id="rId10" w:anchor="page=1" w:history="1">
              <w:r w:rsidR="00E65711" w:rsidRPr="00B3514F">
                <w:rPr>
                  <w:rStyle w:val="Hyperlink"/>
                  <w:rFonts w:ascii="Arial Narrow" w:hAnsi="Arial Narrow"/>
                </w:rPr>
                <w:t>2SSB 6453</w:t>
              </w:r>
            </w:hyperlink>
          </w:p>
          <w:p w:rsidR="00E65711" w:rsidRPr="00B3514F" w:rsidRDefault="00E65711">
            <w:pPr>
              <w:rPr>
                <w:rFonts w:ascii="Arial Narrow" w:hAnsi="Arial Narrow"/>
              </w:rPr>
            </w:pPr>
          </w:p>
          <w:p w:rsidR="00E65711" w:rsidRPr="00B3514F" w:rsidRDefault="00E65711" w:rsidP="008113F3">
            <w:pPr>
              <w:rPr>
                <w:rFonts w:ascii="Arial Narrow" w:hAnsi="Arial Narrow"/>
                <w:u w:val="single"/>
              </w:rPr>
            </w:pPr>
          </w:p>
        </w:tc>
        <w:tc>
          <w:tcPr>
            <w:tcW w:w="990" w:type="pct"/>
          </w:tcPr>
          <w:p w:rsidR="00E65711" w:rsidRPr="00B3514F" w:rsidRDefault="00E65711" w:rsidP="00D33992">
            <w:pPr>
              <w:rPr>
                <w:rFonts w:ascii="Arial Narrow" w:hAnsi="Arial Narrow"/>
              </w:rPr>
            </w:pPr>
            <w:r w:rsidRPr="00B3514F">
              <w:rPr>
                <w:rFonts w:ascii="Arial Narrow" w:hAnsi="Arial Narrow"/>
              </w:rPr>
              <w:t>RCW 74.13.031(19)</w:t>
            </w:r>
          </w:p>
        </w:tc>
        <w:tc>
          <w:tcPr>
            <w:tcW w:w="3270" w:type="pct"/>
          </w:tcPr>
          <w:p w:rsidR="00E65711" w:rsidRPr="00B3514F" w:rsidRDefault="00E65711" w:rsidP="00C11E25">
            <w:pPr>
              <w:rPr>
                <w:rFonts w:ascii="Arial Narrow" w:hAnsi="Arial Narrow"/>
              </w:rPr>
            </w:pPr>
            <w:r w:rsidRPr="00B3514F">
              <w:rPr>
                <w:rFonts w:ascii="Arial Narrow" w:hAnsi="Arial Narrow"/>
              </w:rPr>
              <w:t xml:space="preserve">Authorizes, but does not require, </w:t>
            </w:r>
            <w:r>
              <w:rPr>
                <w:rFonts w:ascii="Arial Narrow" w:hAnsi="Arial Narrow"/>
              </w:rPr>
              <w:t>DCYF</w:t>
            </w:r>
            <w:r w:rsidRPr="00B3514F">
              <w:rPr>
                <w:rFonts w:ascii="Arial Narrow" w:hAnsi="Arial Narrow"/>
              </w:rPr>
              <w:t xml:space="preserve"> to purchase legal representation (within its appropriations) for kinship caregivers to secure orders establishing civil legal relationships when necessary for the child’s safety, permanence, or well-being</w:t>
            </w:r>
          </w:p>
        </w:tc>
      </w:tr>
      <w:tr w:rsidR="003E404B" w:rsidRPr="00B3514F" w:rsidTr="00676115">
        <w:trPr>
          <w:jc w:val="center"/>
        </w:trPr>
        <w:tc>
          <w:tcPr>
            <w:tcW w:w="740" w:type="pct"/>
          </w:tcPr>
          <w:p w:rsidR="00E65711" w:rsidRPr="00B3514F" w:rsidRDefault="00B04A68" w:rsidP="009877C3">
            <w:pPr>
              <w:rPr>
                <w:rFonts w:ascii="Arial Narrow" w:hAnsi="Arial Narrow"/>
              </w:rPr>
            </w:pPr>
            <w:hyperlink r:id="rId11" w:anchor="page=1" w:history="1">
              <w:r w:rsidR="00E65711" w:rsidRPr="00B3514F">
                <w:rPr>
                  <w:rStyle w:val="Hyperlink"/>
                  <w:rFonts w:ascii="Arial Narrow" w:hAnsi="Arial Narrow"/>
                </w:rPr>
                <w:t>HB 1790</w:t>
              </w:r>
            </w:hyperlink>
          </w:p>
          <w:p w:rsidR="00E65711" w:rsidRPr="00B3514F" w:rsidRDefault="00E65711" w:rsidP="00C71481">
            <w:pPr>
              <w:rPr>
                <w:rFonts w:ascii="Arial Narrow" w:hAnsi="Arial Narrow"/>
              </w:rPr>
            </w:pPr>
          </w:p>
        </w:tc>
        <w:tc>
          <w:tcPr>
            <w:tcW w:w="990" w:type="pct"/>
          </w:tcPr>
          <w:p w:rsidR="00E65711" w:rsidRPr="00B3514F" w:rsidRDefault="00E65711" w:rsidP="009877C3">
            <w:pPr>
              <w:rPr>
                <w:rFonts w:ascii="Arial Narrow" w:hAnsi="Arial Narrow"/>
              </w:rPr>
            </w:pPr>
            <w:r w:rsidRPr="00B3514F">
              <w:rPr>
                <w:rFonts w:ascii="Arial Narrow" w:hAnsi="Arial Narrow"/>
              </w:rPr>
              <w:t>RCW 13.34.040(2)</w:t>
            </w:r>
          </w:p>
        </w:tc>
        <w:tc>
          <w:tcPr>
            <w:tcW w:w="3270" w:type="pct"/>
          </w:tcPr>
          <w:p w:rsidR="00E65711" w:rsidRPr="00B3514F" w:rsidRDefault="00462BE9" w:rsidP="00462BE9">
            <w:pPr>
              <w:rPr>
                <w:rFonts w:ascii="Arial Narrow" w:hAnsi="Arial Narrow"/>
              </w:rPr>
            </w:pPr>
            <w:r w:rsidRPr="00462BE9">
              <w:rPr>
                <w:rFonts w:ascii="Arial Narrow" w:hAnsi="Arial Narrow"/>
              </w:rPr>
              <w:t xml:space="preserve">Probation officer approval no longer required on dependency petitions when the </w:t>
            </w:r>
            <w:r>
              <w:rPr>
                <w:rFonts w:ascii="Arial Narrow" w:hAnsi="Arial Narrow"/>
              </w:rPr>
              <w:t xml:space="preserve">DCYF </w:t>
            </w:r>
            <w:r w:rsidRPr="00462BE9">
              <w:rPr>
                <w:rFonts w:ascii="Arial Narrow" w:hAnsi="Arial Narrow"/>
              </w:rPr>
              <w:t>is the petitioner</w:t>
            </w:r>
          </w:p>
        </w:tc>
      </w:tr>
      <w:tr w:rsidR="003E404B" w:rsidRPr="00B3514F" w:rsidTr="00676115">
        <w:trPr>
          <w:jc w:val="center"/>
        </w:trPr>
        <w:tc>
          <w:tcPr>
            <w:tcW w:w="740" w:type="pct"/>
          </w:tcPr>
          <w:p w:rsidR="00E65711" w:rsidRPr="00B3514F" w:rsidRDefault="00B04A68" w:rsidP="00EC16B1">
            <w:pPr>
              <w:rPr>
                <w:rFonts w:ascii="Arial Narrow" w:hAnsi="Arial Narrow"/>
              </w:rPr>
            </w:pPr>
            <w:hyperlink r:id="rId12" w:history="1">
              <w:r w:rsidR="00E65711" w:rsidRPr="00B3514F">
                <w:rPr>
                  <w:rStyle w:val="Hyperlink"/>
                  <w:rFonts w:ascii="Arial Narrow" w:hAnsi="Arial Narrow"/>
                </w:rPr>
                <w:t>HB 2785</w:t>
              </w:r>
            </w:hyperlink>
          </w:p>
          <w:p w:rsidR="00E65711" w:rsidRPr="00B3514F" w:rsidRDefault="00E65711" w:rsidP="00EC16B1">
            <w:pPr>
              <w:rPr>
                <w:rFonts w:ascii="Arial Narrow" w:hAnsi="Arial Narrow"/>
              </w:rPr>
            </w:pPr>
          </w:p>
          <w:p w:rsidR="00E65711" w:rsidRPr="00B3514F" w:rsidRDefault="00E65711" w:rsidP="00C71481">
            <w:pPr>
              <w:rPr>
                <w:rFonts w:ascii="Arial Narrow" w:hAnsi="Arial Narrow"/>
              </w:rPr>
            </w:pPr>
          </w:p>
        </w:tc>
        <w:tc>
          <w:tcPr>
            <w:tcW w:w="990" w:type="pct"/>
          </w:tcPr>
          <w:p w:rsidR="00E65711" w:rsidRPr="00B3514F" w:rsidRDefault="00E65711" w:rsidP="003E404B">
            <w:pPr>
              <w:rPr>
                <w:rFonts w:ascii="Arial Narrow" w:hAnsi="Arial Narrow"/>
              </w:rPr>
            </w:pPr>
            <w:r w:rsidRPr="00B3514F">
              <w:rPr>
                <w:rFonts w:ascii="Arial Narrow" w:hAnsi="Arial Narrow"/>
              </w:rPr>
              <w:t xml:space="preserve">RCW 43.216.015 </w:t>
            </w:r>
          </w:p>
        </w:tc>
        <w:tc>
          <w:tcPr>
            <w:tcW w:w="3270" w:type="pct"/>
          </w:tcPr>
          <w:p w:rsidR="00E65711" w:rsidRPr="00462BE9" w:rsidRDefault="00462BE9" w:rsidP="00462BE9">
            <w:pPr>
              <w:autoSpaceDE w:val="0"/>
              <w:autoSpaceDN w:val="0"/>
              <w:adjustRightInd w:val="0"/>
              <w:rPr>
                <w:rFonts w:ascii="Arial Narrow" w:hAnsi="Arial Narrow"/>
              </w:rPr>
            </w:pPr>
            <w:r w:rsidRPr="00462BE9">
              <w:rPr>
                <w:rFonts w:ascii="Arial Narrow" w:hAnsi="Arial Narrow"/>
              </w:rPr>
              <w:t>Modifies the requirement that DCYF provide foster parents with a list of foster parent rights and responsibilities on the DCYF website and in writing at the time of licensure to</w:t>
            </w:r>
            <w:r>
              <w:rPr>
                <w:rFonts w:ascii="Arial Narrow" w:hAnsi="Arial Narrow"/>
              </w:rPr>
              <w:t xml:space="preserve"> </w:t>
            </w:r>
            <w:r w:rsidRPr="00462BE9">
              <w:rPr>
                <w:rFonts w:ascii="Arial Narrow" w:hAnsi="Arial Narrow"/>
              </w:rPr>
              <w:t>also require the list be provided to foster parents at orientation before licensure and at license</w:t>
            </w:r>
            <w:r>
              <w:rPr>
                <w:rFonts w:ascii="Arial Narrow" w:hAnsi="Arial Narrow"/>
              </w:rPr>
              <w:t xml:space="preserve"> </w:t>
            </w:r>
            <w:r w:rsidRPr="00462BE9">
              <w:rPr>
                <w:rFonts w:ascii="Arial Narrow" w:hAnsi="Arial Narrow"/>
              </w:rPr>
              <w:t>renewal.</w:t>
            </w:r>
          </w:p>
        </w:tc>
      </w:tr>
      <w:tr w:rsidR="003E404B" w:rsidRPr="00B3514F" w:rsidTr="00676115">
        <w:trPr>
          <w:jc w:val="center"/>
        </w:trPr>
        <w:tc>
          <w:tcPr>
            <w:tcW w:w="740" w:type="pct"/>
          </w:tcPr>
          <w:p w:rsidR="00E65711" w:rsidRPr="00B3514F" w:rsidRDefault="00B04A68" w:rsidP="00EC16B1">
            <w:pPr>
              <w:rPr>
                <w:rFonts w:ascii="Arial Narrow" w:hAnsi="Arial Narrow"/>
              </w:rPr>
            </w:pPr>
            <w:hyperlink r:id="rId13" w:anchor="page=1" w:history="1">
              <w:r w:rsidR="00E65711" w:rsidRPr="00B3514F">
                <w:rPr>
                  <w:rStyle w:val="Hyperlink"/>
                  <w:rFonts w:ascii="Arial Narrow" w:hAnsi="Arial Narrow"/>
                </w:rPr>
                <w:t>ESHB 2700</w:t>
              </w:r>
            </w:hyperlink>
          </w:p>
          <w:p w:rsidR="00E65711" w:rsidRPr="00B3514F" w:rsidRDefault="00E65711" w:rsidP="00EC16B1">
            <w:pPr>
              <w:rPr>
                <w:rFonts w:ascii="Arial Narrow" w:hAnsi="Arial Narrow"/>
              </w:rPr>
            </w:pPr>
          </w:p>
          <w:p w:rsidR="00E65711" w:rsidRPr="00B3514F" w:rsidRDefault="00E65711" w:rsidP="008113F3">
            <w:pPr>
              <w:rPr>
                <w:rFonts w:ascii="Arial Narrow" w:hAnsi="Arial Narrow"/>
              </w:rPr>
            </w:pPr>
          </w:p>
        </w:tc>
        <w:tc>
          <w:tcPr>
            <w:tcW w:w="990" w:type="pct"/>
          </w:tcPr>
          <w:p w:rsidR="00E65711" w:rsidRDefault="00E65711" w:rsidP="00EC16B1">
            <w:pPr>
              <w:rPr>
                <w:rFonts w:ascii="Arial Narrow" w:hAnsi="Arial Narrow"/>
              </w:rPr>
            </w:pPr>
            <w:r>
              <w:rPr>
                <w:rFonts w:ascii="Arial Narrow" w:hAnsi="Arial Narrow"/>
              </w:rPr>
              <w:t>RCW 26.44.020</w:t>
            </w:r>
          </w:p>
          <w:p w:rsidR="00E65711" w:rsidRDefault="00E65711" w:rsidP="00EC16B1">
            <w:pPr>
              <w:rPr>
                <w:rFonts w:ascii="Arial Narrow" w:hAnsi="Arial Narrow"/>
              </w:rPr>
            </w:pPr>
            <w:r>
              <w:rPr>
                <w:rFonts w:ascii="Arial Narrow" w:hAnsi="Arial Narrow"/>
              </w:rPr>
              <w:t>RCW 26.44.185</w:t>
            </w:r>
          </w:p>
          <w:p w:rsidR="00E65711" w:rsidRDefault="00E65711" w:rsidP="00EC16B1">
            <w:pPr>
              <w:rPr>
                <w:rFonts w:ascii="Arial Narrow" w:hAnsi="Arial Narrow"/>
              </w:rPr>
            </w:pPr>
            <w:r>
              <w:rPr>
                <w:rFonts w:ascii="Arial Narrow" w:hAnsi="Arial Narrow"/>
              </w:rPr>
              <w:t>RCW 42.56.240</w:t>
            </w:r>
          </w:p>
          <w:p w:rsidR="003E404B" w:rsidRDefault="003E404B" w:rsidP="00EC16B1">
            <w:pPr>
              <w:rPr>
                <w:rFonts w:ascii="Arial Narrow" w:hAnsi="Arial Narrow"/>
              </w:rPr>
            </w:pPr>
          </w:p>
          <w:p w:rsidR="00E65711" w:rsidRDefault="00E65711" w:rsidP="00EC16B1">
            <w:pPr>
              <w:rPr>
                <w:rFonts w:ascii="Arial Narrow" w:hAnsi="Arial Narrow"/>
              </w:rPr>
            </w:pPr>
            <w:r>
              <w:rPr>
                <w:rFonts w:ascii="Arial Narrow" w:hAnsi="Arial Narrow"/>
              </w:rPr>
              <w:t xml:space="preserve">Adds sections to </w:t>
            </w:r>
            <w:r w:rsidR="003E404B">
              <w:rPr>
                <w:rFonts w:ascii="Arial Narrow" w:hAnsi="Arial Narrow"/>
              </w:rPr>
              <w:t>Ch.</w:t>
            </w:r>
            <w:r>
              <w:rPr>
                <w:rFonts w:ascii="Arial Narrow" w:hAnsi="Arial Narrow"/>
              </w:rPr>
              <w:t xml:space="preserve"> 26.44</w:t>
            </w:r>
            <w:r w:rsidR="003E404B">
              <w:rPr>
                <w:rFonts w:ascii="Arial Narrow" w:hAnsi="Arial Narrow"/>
              </w:rPr>
              <w:t xml:space="preserve"> RCW</w:t>
            </w:r>
          </w:p>
          <w:p w:rsidR="00E65711" w:rsidRPr="00B54F99" w:rsidRDefault="00E65711" w:rsidP="00EC16B1">
            <w:pPr>
              <w:rPr>
                <w:rFonts w:ascii="Arial Narrow" w:hAnsi="Arial Narrow"/>
              </w:rPr>
            </w:pPr>
          </w:p>
        </w:tc>
        <w:tc>
          <w:tcPr>
            <w:tcW w:w="3270" w:type="pct"/>
          </w:tcPr>
          <w:p w:rsidR="00E65711" w:rsidRPr="00C16309" w:rsidRDefault="00E65711" w:rsidP="00EC16B1">
            <w:pPr>
              <w:pStyle w:val="ListParagraph"/>
              <w:numPr>
                <w:ilvl w:val="0"/>
                <w:numId w:val="4"/>
              </w:numPr>
              <w:rPr>
                <w:rFonts w:ascii="Arial Narrow" w:hAnsi="Arial Narrow"/>
                <w:u w:val="single"/>
              </w:rPr>
            </w:pPr>
            <w:r>
              <w:rPr>
                <w:rFonts w:ascii="Arial Narrow" w:hAnsi="Arial Narrow"/>
              </w:rPr>
              <w:t>Adds disclosure protections for audio and visual recordings of child forensic interviews</w:t>
            </w:r>
          </w:p>
          <w:p w:rsidR="00E65711" w:rsidRPr="00C16309" w:rsidRDefault="00E65711" w:rsidP="00EC16B1">
            <w:pPr>
              <w:pStyle w:val="ListParagraph"/>
              <w:numPr>
                <w:ilvl w:val="0"/>
                <w:numId w:val="4"/>
              </w:numPr>
              <w:rPr>
                <w:rFonts w:ascii="Arial Narrow" w:hAnsi="Arial Narrow"/>
                <w:u w:val="single"/>
              </w:rPr>
            </w:pPr>
            <w:r>
              <w:rPr>
                <w:rFonts w:ascii="Arial Narrow" w:hAnsi="Arial Narrow"/>
              </w:rPr>
              <w:t>Adds discovery protections for these recordings by requiring that they be subject to a protective order (absent good cause finding) in all civil and criminal proceedings.</w:t>
            </w:r>
          </w:p>
          <w:p w:rsidR="00E65711" w:rsidRPr="00B3514F" w:rsidRDefault="00E65711" w:rsidP="00EC16B1">
            <w:pPr>
              <w:pStyle w:val="ListParagraph"/>
              <w:numPr>
                <w:ilvl w:val="0"/>
                <w:numId w:val="4"/>
              </w:numPr>
              <w:rPr>
                <w:rFonts w:ascii="Arial Narrow" w:hAnsi="Arial Narrow"/>
                <w:u w:val="single"/>
              </w:rPr>
            </w:pPr>
            <w:r>
              <w:rPr>
                <w:rFonts w:ascii="Arial Narrow" w:hAnsi="Arial Narrow"/>
              </w:rPr>
              <w:t>Requires local protocol addressing child sexual abuse, fatality, physical abuse, and criminal neglect investigations include provisions for handling these recordings.</w:t>
            </w:r>
          </w:p>
        </w:tc>
      </w:tr>
      <w:tr w:rsidR="003E404B" w:rsidRPr="00B3514F" w:rsidTr="00676115">
        <w:trPr>
          <w:jc w:val="center"/>
        </w:trPr>
        <w:tc>
          <w:tcPr>
            <w:tcW w:w="740" w:type="pct"/>
          </w:tcPr>
          <w:p w:rsidR="00E65711" w:rsidRPr="00B3514F" w:rsidRDefault="00B04A68" w:rsidP="00EC16B1">
            <w:pPr>
              <w:rPr>
                <w:rFonts w:ascii="Arial Narrow" w:hAnsi="Arial Narrow"/>
              </w:rPr>
            </w:pPr>
            <w:hyperlink r:id="rId14" w:anchor="page=1" w:history="1">
              <w:r w:rsidR="00E65711" w:rsidRPr="00B3514F">
                <w:rPr>
                  <w:rStyle w:val="Hyperlink"/>
                  <w:rFonts w:ascii="Arial Narrow" w:hAnsi="Arial Narrow"/>
                </w:rPr>
                <w:t>SSB 6222</w:t>
              </w:r>
            </w:hyperlink>
          </w:p>
          <w:p w:rsidR="00E65711" w:rsidRPr="00B3514F" w:rsidRDefault="00E65711" w:rsidP="00EC16B1">
            <w:pPr>
              <w:rPr>
                <w:rFonts w:ascii="Arial Narrow" w:hAnsi="Arial Narrow"/>
              </w:rPr>
            </w:pPr>
          </w:p>
          <w:p w:rsidR="00E65711" w:rsidRPr="00B3514F" w:rsidRDefault="00E65711" w:rsidP="00EC16B1">
            <w:pPr>
              <w:rPr>
                <w:rFonts w:ascii="Arial Narrow" w:hAnsi="Arial Narrow"/>
              </w:rPr>
            </w:pPr>
          </w:p>
        </w:tc>
        <w:tc>
          <w:tcPr>
            <w:tcW w:w="990" w:type="pct"/>
          </w:tcPr>
          <w:p w:rsidR="00E65711" w:rsidRDefault="00E65711" w:rsidP="00EC16B1">
            <w:pPr>
              <w:rPr>
                <w:rFonts w:ascii="Arial Narrow" w:hAnsi="Arial Narrow"/>
              </w:rPr>
            </w:pPr>
            <w:r>
              <w:rPr>
                <w:rFonts w:ascii="Arial Narrow" w:hAnsi="Arial Narrow"/>
              </w:rPr>
              <w:t>RCW 13.34.267</w:t>
            </w:r>
          </w:p>
          <w:p w:rsidR="00E65711" w:rsidRDefault="00E65711" w:rsidP="00EC16B1">
            <w:pPr>
              <w:rPr>
                <w:rFonts w:ascii="Arial Narrow" w:hAnsi="Arial Narrow"/>
              </w:rPr>
            </w:pPr>
            <w:r>
              <w:rPr>
                <w:rFonts w:ascii="Arial Narrow" w:hAnsi="Arial Narrow"/>
              </w:rPr>
              <w:t>RCW 13.34.268</w:t>
            </w:r>
          </w:p>
          <w:p w:rsidR="00E65711" w:rsidRDefault="00E65711" w:rsidP="00EC16B1">
            <w:pPr>
              <w:rPr>
                <w:rFonts w:ascii="Arial Narrow" w:hAnsi="Arial Narrow"/>
              </w:rPr>
            </w:pPr>
            <w:r>
              <w:rPr>
                <w:rFonts w:ascii="Arial Narrow" w:hAnsi="Arial Narrow"/>
              </w:rPr>
              <w:t>RCW 74.13.020</w:t>
            </w:r>
          </w:p>
          <w:p w:rsidR="00E65711" w:rsidRDefault="00E65711" w:rsidP="00EC16B1">
            <w:pPr>
              <w:rPr>
                <w:rFonts w:ascii="Arial Narrow" w:hAnsi="Arial Narrow"/>
              </w:rPr>
            </w:pPr>
            <w:r>
              <w:rPr>
                <w:rFonts w:ascii="Arial Narrow" w:hAnsi="Arial Narrow"/>
              </w:rPr>
              <w:t>RCW 74.13.031</w:t>
            </w:r>
          </w:p>
          <w:p w:rsidR="00E65711" w:rsidRPr="00B3514F" w:rsidRDefault="00E65711" w:rsidP="00C71481">
            <w:pPr>
              <w:rPr>
                <w:rFonts w:ascii="Arial Narrow" w:hAnsi="Arial Narrow"/>
              </w:rPr>
            </w:pPr>
            <w:r>
              <w:rPr>
                <w:rFonts w:ascii="Arial Narrow" w:hAnsi="Arial Narrow"/>
              </w:rPr>
              <w:t>RCW 74.13.336</w:t>
            </w:r>
          </w:p>
        </w:tc>
        <w:tc>
          <w:tcPr>
            <w:tcW w:w="3270" w:type="pct"/>
          </w:tcPr>
          <w:p w:rsidR="00E65711" w:rsidRDefault="00E65711" w:rsidP="00EC16B1">
            <w:pPr>
              <w:pStyle w:val="ListParagraph"/>
              <w:numPr>
                <w:ilvl w:val="0"/>
                <w:numId w:val="7"/>
              </w:numPr>
              <w:rPr>
                <w:rFonts w:ascii="Arial Narrow" w:hAnsi="Arial Narrow"/>
              </w:rPr>
            </w:pPr>
            <w:r>
              <w:rPr>
                <w:rFonts w:ascii="Arial Narrow" w:hAnsi="Arial Narrow"/>
              </w:rPr>
              <w:t>Removes the requirement for a youth to be in foster care on their 18</w:t>
            </w:r>
            <w:r w:rsidRPr="002D2214">
              <w:rPr>
                <w:rFonts w:ascii="Arial Narrow" w:hAnsi="Arial Narrow"/>
                <w:vertAlign w:val="superscript"/>
              </w:rPr>
              <w:t>th</w:t>
            </w:r>
            <w:r>
              <w:rPr>
                <w:rFonts w:ascii="Arial Narrow" w:hAnsi="Arial Narrow"/>
              </w:rPr>
              <w:t xml:space="preserve"> birthday to be eligible for EFC</w:t>
            </w:r>
          </w:p>
          <w:p w:rsidR="00E65711" w:rsidRDefault="00E65711" w:rsidP="00EC16B1">
            <w:pPr>
              <w:pStyle w:val="ListParagraph"/>
              <w:numPr>
                <w:ilvl w:val="0"/>
                <w:numId w:val="7"/>
              </w:numPr>
              <w:rPr>
                <w:rFonts w:ascii="Arial Narrow" w:hAnsi="Arial Narrow"/>
              </w:rPr>
            </w:pPr>
            <w:r>
              <w:rPr>
                <w:rFonts w:ascii="Arial Narrow" w:hAnsi="Arial Narrow"/>
              </w:rPr>
              <w:t>Removes the requirement for a youth to enroll in EFC for the first time before the youth’s 19</w:t>
            </w:r>
            <w:r w:rsidRPr="00936E0D">
              <w:rPr>
                <w:rFonts w:ascii="Arial Narrow" w:hAnsi="Arial Narrow"/>
                <w:vertAlign w:val="superscript"/>
              </w:rPr>
              <w:t>th</w:t>
            </w:r>
            <w:r>
              <w:rPr>
                <w:rFonts w:ascii="Arial Narrow" w:hAnsi="Arial Narrow"/>
              </w:rPr>
              <w:t xml:space="preserve"> birthday </w:t>
            </w:r>
          </w:p>
          <w:p w:rsidR="00E65711" w:rsidRPr="00B3514F" w:rsidRDefault="00E65711" w:rsidP="00EC16B1">
            <w:pPr>
              <w:pStyle w:val="ListParagraph"/>
              <w:numPr>
                <w:ilvl w:val="0"/>
                <w:numId w:val="7"/>
              </w:numPr>
              <w:rPr>
                <w:rFonts w:ascii="Arial Narrow" w:hAnsi="Arial Narrow"/>
              </w:rPr>
            </w:pPr>
            <w:r>
              <w:rPr>
                <w:rFonts w:ascii="Arial Narrow" w:hAnsi="Arial Narrow"/>
              </w:rPr>
              <w:t>Removes the one-time limitation on entering EFC through a VPA</w:t>
            </w:r>
          </w:p>
        </w:tc>
      </w:tr>
      <w:tr w:rsidR="003E404B" w:rsidRPr="00B3514F" w:rsidTr="00676115">
        <w:trPr>
          <w:jc w:val="center"/>
        </w:trPr>
        <w:tc>
          <w:tcPr>
            <w:tcW w:w="740" w:type="pct"/>
          </w:tcPr>
          <w:p w:rsidR="00E65711" w:rsidRPr="00B3514F" w:rsidRDefault="00B04A68" w:rsidP="00C92C67">
            <w:pPr>
              <w:rPr>
                <w:rFonts w:ascii="Arial Narrow" w:hAnsi="Arial Narrow"/>
              </w:rPr>
            </w:pPr>
            <w:hyperlink r:id="rId15" w:history="1">
              <w:r w:rsidR="00E65711" w:rsidRPr="00B3514F">
                <w:rPr>
                  <w:rStyle w:val="Hyperlink"/>
                  <w:rFonts w:ascii="Arial Narrow" w:hAnsi="Arial Narrow"/>
                </w:rPr>
                <w:t>EHB 2008</w:t>
              </w:r>
            </w:hyperlink>
          </w:p>
          <w:p w:rsidR="00E65711" w:rsidRPr="00B3514F" w:rsidRDefault="00E65711" w:rsidP="00C92C67">
            <w:pPr>
              <w:rPr>
                <w:rFonts w:ascii="Arial Narrow" w:hAnsi="Arial Narrow"/>
              </w:rPr>
            </w:pPr>
          </w:p>
          <w:p w:rsidR="00E65711" w:rsidRPr="00B3514F" w:rsidRDefault="00E65711" w:rsidP="00C92C67">
            <w:pPr>
              <w:rPr>
                <w:rFonts w:ascii="Arial Narrow" w:hAnsi="Arial Narrow"/>
              </w:rPr>
            </w:pPr>
          </w:p>
        </w:tc>
        <w:tc>
          <w:tcPr>
            <w:tcW w:w="990" w:type="pct"/>
          </w:tcPr>
          <w:p w:rsidR="00E65711" w:rsidRPr="00B3514F" w:rsidRDefault="00E65711" w:rsidP="00C92C67">
            <w:pPr>
              <w:rPr>
                <w:rFonts w:ascii="Arial Narrow" w:hAnsi="Arial Narrow"/>
              </w:rPr>
            </w:pPr>
            <w:r w:rsidRPr="00B3514F">
              <w:rPr>
                <w:rFonts w:ascii="Arial Narrow" w:hAnsi="Arial Narrow"/>
              </w:rPr>
              <w:t>New section added to ch. 74.13 and 43.88 RCW, amends RCW 43.88C.010</w:t>
            </w:r>
          </w:p>
        </w:tc>
        <w:tc>
          <w:tcPr>
            <w:tcW w:w="3270" w:type="pct"/>
          </w:tcPr>
          <w:p w:rsidR="00E65711" w:rsidRPr="00B3514F" w:rsidRDefault="00E65711" w:rsidP="00C92C67">
            <w:pPr>
              <w:pStyle w:val="ListParagraph"/>
              <w:numPr>
                <w:ilvl w:val="0"/>
                <w:numId w:val="7"/>
              </w:numPr>
              <w:rPr>
                <w:rFonts w:ascii="Arial Narrow" w:hAnsi="Arial Narrow"/>
              </w:rPr>
            </w:pPr>
            <w:r w:rsidRPr="00B3514F">
              <w:rPr>
                <w:rFonts w:ascii="Arial Narrow" w:hAnsi="Arial Narrow"/>
              </w:rPr>
              <w:t xml:space="preserve">DCYF must facilitate a workgroup to design a BRS rate payment methodology based on actual costs of care and must report to the Legislature by November 2018.  </w:t>
            </w:r>
          </w:p>
          <w:p w:rsidR="00E65711" w:rsidRPr="00B3514F" w:rsidRDefault="00E65711" w:rsidP="00C71481">
            <w:pPr>
              <w:pStyle w:val="ListParagraph"/>
              <w:numPr>
                <w:ilvl w:val="0"/>
                <w:numId w:val="7"/>
              </w:numPr>
              <w:rPr>
                <w:rFonts w:ascii="Arial Narrow" w:hAnsi="Arial Narrow"/>
              </w:rPr>
            </w:pPr>
            <w:r w:rsidRPr="00B3514F">
              <w:rPr>
                <w:rFonts w:ascii="Arial Narrow" w:hAnsi="Arial Narrow"/>
              </w:rPr>
              <w:t>The caseload forecast council must forecast the number of youth expected to receive BRS in foster care and the number of screened-in reports of child abuse or neglect, and court-ordered parent-child and sibling visits delivered by contractors must be forecasted and budgeted as maintenance level costs.</w:t>
            </w:r>
          </w:p>
        </w:tc>
      </w:tr>
      <w:tr w:rsidR="003E404B" w:rsidRPr="00B3514F" w:rsidTr="00676115">
        <w:trPr>
          <w:jc w:val="center"/>
        </w:trPr>
        <w:tc>
          <w:tcPr>
            <w:tcW w:w="740" w:type="pct"/>
          </w:tcPr>
          <w:p w:rsidR="00E65711" w:rsidRPr="00B3514F" w:rsidRDefault="00B04A68" w:rsidP="00EC16B1">
            <w:pPr>
              <w:rPr>
                <w:rFonts w:ascii="Arial Narrow" w:hAnsi="Arial Narrow"/>
              </w:rPr>
            </w:pPr>
            <w:hyperlink r:id="rId16" w:anchor="page=1" w:history="1">
              <w:r w:rsidR="00E65711" w:rsidRPr="00B3514F">
                <w:rPr>
                  <w:rStyle w:val="Hyperlink"/>
                  <w:rFonts w:ascii="Arial Narrow" w:hAnsi="Arial Narrow"/>
                </w:rPr>
                <w:t>SSB 6309</w:t>
              </w:r>
            </w:hyperlink>
          </w:p>
          <w:p w:rsidR="00E65711" w:rsidRPr="00B3514F" w:rsidRDefault="00E65711" w:rsidP="00EC16B1">
            <w:pPr>
              <w:rPr>
                <w:rFonts w:ascii="Arial Narrow" w:hAnsi="Arial Narrow"/>
              </w:rPr>
            </w:pPr>
          </w:p>
        </w:tc>
        <w:tc>
          <w:tcPr>
            <w:tcW w:w="990" w:type="pct"/>
          </w:tcPr>
          <w:p w:rsidR="00E65711" w:rsidRPr="00B3514F" w:rsidRDefault="00E65711" w:rsidP="00EC16B1">
            <w:pPr>
              <w:rPr>
                <w:rFonts w:ascii="Arial Narrow" w:hAnsi="Arial Narrow"/>
              </w:rPr>
            </w:pPr>
            <w:r>
              <w:rPr>
                <w:rFonts w:ascii="Arial Narrow" w:hAnsi="Arial Narrow"/>
              </w:rPr>
              <w:t>RCW 26.44.030</w:t>
            </w:r>
          </w:p>
        </w:tc>
        <w:tc>
          <w:tcPr>
            <w:tcW w:w="3270" w:type="pct"/>
          </w:tcPr>
          <w:p w:rsidR="00E65711" w:rsidRPr="00B3514F" w:rsidRDefault="00E65711" w:rsidP="00EC16B1">
            <w:pPr>
              <w:pStyle w:val="ListParagraph"/>
              <w:numPr>
                <w:ilvl w:val="0"/>
                <w:numId w:val="7"/>
              </w:numPr>
              <w:rPr>
                <w:rFonts w:ascii="Arial Narrow" w:hAnsi="Arial Narrow"/>
              </w:rPr>
            </w:pPr>
            <w:r>
              <w:rPr>
                <w:rFonts w:ascii="Arial Narrow" w:hAnsi="Arial Narrow"/>
              </w:rPr>
              <w:t>Allows the Department 120 days to complete FAR response (previously 90 days)</w:t>
            </w:r>
            <w:r w:rsidR="00462BE9">
              <w:rPr>
                <w:rFonts w:ascii="Arial Narrow" w:hAnsi="Arial Narrow"/>
              </w:rPr>
              <w:t>, with agreement of the parent</w:t>
            </w:r>
          </w:p>
        </w:tc>
      </w:tr>
      <w:tr w:rsidR="003E404B" w:rsidRPr="00B3514F" w:rsidTr="00676115">
        <w:trPr>
          <w:jc w:val="center"/>
        </w:trPr>
        <w:tc>
          <w:tcPr>
            <w:tcW w:w="740" w:type="pct"/>
          </w:tcPr>
          <w:p w:rsidR="00E65711" w:rsidRPr="00B3514F" w:rsidRDefault="00B04A68" w:rsidP="00A70007">
            <w:pPr>
              <w:rPr>
                <w:rFonts w:ascii="Arial Narrow" w:hAnsi="Arial Narrow"/>
              </w:rPr>
            </w:pPr>
            <w:hyperlink r:id="rId17" w:anchor="page=1" w:history="1">
              <w:r w:rsidR="00E65711" w:rsidRPr="00B3514F">
                <w:rPr>
                  <w:rStyle w:val="Hyperlink"/>
                  <w:rFonts w:ascii="Arial Narrow" w:hAnsi="Arial Narrow"/>
                </w:rPr>
                <w:t>SB 5598</w:t>
              </w:r>
            </w:hyperlink>
          </w:p>
          <w:p w:rsidR="00E65711" w:rsidRDefault="00E65711" w:rsidP="00A70007"/>
        </w:tc>
        <w:tc>
          <w:tcPr>
            <w:tcW w:w="990" w:type="pct"/>
          </w:tcPr>
          <w:p w:rsidR="00E65711" w:rsidRPr="00B3514F" w:rsidRDefault="00E65711" w:rsidP="00A70007">
            <w:pPr>
              <w:rPr>
                <w:rFonts w:ascii="Arial Narrow" w:hAnsi="Arial Narrow"/>
              </w:rPr>
            </w:pPr>
            <w:r w:rsidRPr="00B3514F">
              <w:rPr>
                <w:rFonts w:ascii="Arial Narrow" w:hAnsi="Arial Narrow"/>
              </w:rPr>
              <w:t>Creates new statutes</w:t>
            </w:r>
          </w:p>
        </w:tc>
        <w:tc>
          <w:tcPr>
            <w:tcW w:w="3270" w:type="pct"/>
          </w:tcPr>
          <w:p w:rsidR="00E65711" w:rsidRPr="00B3514F" w:rsidRDefault="00E65711" w:rsidP="00A70007">
            <w:pPr>
              <w:pStyle w:val="ListParagraph"/>
              <w:numPr>
                <w:ilvl w:val="0"/>
                <w:numId w:val="7"/>
              </w:numPr>
              <w:rPr>
                <w:rFonts w:ascii="Arial Narrow" w:hAnsi="Arial Narrow"/>
              </w:rPr>
            </w:pPr>
            <w:r w:rsidRPr="00B3514F">
              <w:rPr>
                <w:rFonts w:ascii="Arial Narrow" w:hAnsi="Arial Narrow"/>
              </w:rPr>
              <w:t>Provides a statutory basis for non-parent relatives to petition for court-ordered visitation if: (1) the relative and the child have an ongoing and substantial relationship, and (2) denying visitation risks harm to the child</w:t>
            </w:r>
          </w:p>
          <w:p w:rsidR="00E65711" w:rsidRDefault="00E65711" w:rsidP="00A70007">
            <w:pPr>
              <w:pStyle w:val="ListParagraph"/>
              <w:numPr>
                <w:ilvl w:val="0"/>
                <w:numId w:val="7"/>
              </w:numPr>
              <w:rPr>
                <w:rFonts w:ascii="Arial Narrow" w:hAnsi="Arial Narrow"/>
              </w:rPr>
            </w:pPr>
            <w:r w:rsidRPr="00B3514F">
              <w:rPr>
                <w:rFonts w:ascii="Arial Narrow" w:hAnsi="Arial Narrow"/>
              </w:rPr>
              <w:t>If the petition is granted, the court shall order the petitioner to pay all transportation costs associated with visitation</w:t>
            </w:r>
          </w:p>
        </w:tc>
      </w:tr>
      <w:tr w:rsidR="008113F3" w:rsidRPr="00B3514F" w:rsidTr="00676115">
        <w:trPr>
          <w:jc w:val="center"/>
        </w:trPr>
        <w:tc>
          <w:tcPr>
            <w:tcW w:w="740" w:type="pct"/>
          </w:tcPr>
          <w:p w:rsidR="008113F3" w:rsidRDefault="00B04A68" w:rsidP="008113F3">
            <w:pPr>
              <w:rPr>
                <w:rStyle w:val="Hyperlink"/>
                <w:rFonts w:ascii="Arial Narrow" w:hAnsi="Arial Narrow"/>
              </w:rPr>
            </w:pPr>
            <w:hyperlink r:id="rId18" w:anchor="page=1" w:history="1">
              <w:r w:rsidR="008113F3" w:rsidRPr="003E404B">
                <w:rPr>
                  <w:rStyle w:val="Hyperlink"/>
                  <w:rFonts w:ascii="Arial Narrow" w:hAnsi="Arial Narrow"/>
                </w:rPr>
                <w:t>2SSB 6274</w:t>
              </w:r>
            </w:hyperlink>
          </w:p>
        </w:tc>
        <w:tc>
          <w:tcPr>
            <w:tcW w:w="990" w:type="pct"/>
          </w:tcPr>
          <w:p w:rsidR="008113F3" w:rsidRPr="00B3514F" w:rsidRDefault="003E404B" w:rsidP="00A70007">
            <w:pPr>
              <w:rPr>
                <w:rFonts w:ascii="Arial Narrow" w:hAnsi="Arial Narrow"/>
              </w:rPr>
            </w:pPr>
            <w:r>
              <w:rPr>
                <w:rFonts w:ascii="Arial Narrow" w:hAnsi="Arial Narrow"/>
              </w:rPr>
              <w:t>Ch. 28B.117 RCW</w:t>
            </w:r>
          </w:p>
        </w:tc>
        <w:tc>
          <w:tcPr>
            <w:tcW w:w="3270" w:type="pct"/>
          </w:tcPr>
          <w:p w:rsidR="008113F3" w:rsidRDefault="008113F3" w:rsidP="00A70007">
            <w:pPr>
              <w:pStyle w:val="ListParagraph"/>
              <w:numPr>
                <w:ilvl w:val="0"/>
                <w:numId w:val="7"/>
              </w:numPr>
              <w:rPr>
                <w:rFonts w:ascii="Arial Narrow" w:hAnsi="Arial Narrow"/>
              </w:rPr>
            </w:pPr>
            <w:r>
              <w:rPr>
                <w:rFonts w:ascii="Arial Narrow" w:hAnsi="Arial Narrow"/>
              </w:rPr>
              <w:t xml:space="preserve">Creates the Passport to Careers program with two pathways: (1) Passport to College Promise scholarship program, and (2) Passport to Apprenticeship Opportunities program.  </w:t>
            </w:r>
          </w:p>
          <w:p w:rsidR="008113F3" w:rsidRPr="00B3514F" w:rsidRDefault="008113F3" w:rsidP="00A70007">
            <w:pPr>
              <w:pStyle w:val="ListParagraph"/>
              <w:numPr>
                <w:ilvl w:val="0"/>
                <w:numId w:val="7"/>
              </w:numPr>
              <w:rPr>
                <w:rFonts w:ascii="Arial Narrow" w:hAnsi="Arial Narrow"/>
              </w:rPr>
            </w:pPr>
            <w:r>
              <w:rPr>
                <w:rFonts w:ascii="Arial Narrow" w:hAnsi="Arial Narrow"/>
              </w:rPr>
              <w:t>The Passport to Careers program must provide financial support and assistance to former foster and unaccompanied homeless youth in pursuing postsecondary options in higher education or a registered apprenticeship.</w:t>
            </w:r>
          </w:p>
        </w:tc>
      </w:tr>
    </w:tbl>
    <w:p w:rsidR="0025349B" w:rsidRDefault="0025349B">
      <w:pPr>
        <w:rPr>
          <w:rFonts w:ascii="Arial Narrow" w:hAnsi="Arial Narrow" w:cs="Arial"/>
          <w:b/>
          <w:u w:val="single"/>
        </w:rPr>
      </w:pPr>
    </w:p>
    <w:p w:rsidR="00E54FD8" w:rsidRDefault="00E54FD8">
      <w:pPr>
        <w:rPr>
          <w:rFonts w:ascii="Arial Narrow" w:hAnsi="Arial Narrow" w:cs="Arial"/>
          <w:b/>
          <w:u w:val="single"/>
        </w:rPr>
      </w:pPr>
      <w:r>
        <w:rPr>
          <w:rFonts w:ascii="Arial Narrow" w:hAnsi="Arial Narrow" w:cs="Arial"/>
          <w:b/>
          <w:u w:val="single"/>
        </w:rPr>
        <w:br w:type="page"/>
      </w:r>
    </w:p>
    <w:p w:rsidR="00FD2B3D" w:rsidRPr="00C71481" w:rsidRDefault="003E404B" w:rsidP="00FD2B3D">
      <w:pPr>
        <w:jc w:val="center"/>
        <w:rPr>
          <w:rFonts w:ascii="Arial Narrow" w:hAnsi="Arial Narrow" w:cs="Arial"/>
          <w:b/>
          <w:u w:val="single"/>
        </w:rPr>
      </w:pPr>
      <w:r>
        <w:rPr>
          <w:rFonts w:ascii="Arial Narrow" w:hAnsi="Arial Narrow" w:cs="Arial"/>
          <w:b/>
          <w:u w:val="single"/>
        </w:rPr>
        <w:lastRenderedPageBreak/>
        <w:t>Selected C</w:t>
      </w:r>
      <w:r w:rsidR="00FD2B3D">
        <w:rPr>
          <w:rFonts w:ascii="Arial Narrow" w:hAnsi="Arial Narrow" w:cs="Arial"/>
          <w:b/>
          <w:u w:val="single"/>
        </w:rPr>
        <w:t>ase La</w:t>
      </w:r>
      <w:r w:rsidR="0025349B">
        <w:rPr>
          <w:rFonts w:ascii="Arial Narrow" w:hAnsi="Arial Narrow" w:cs="Arial"/>
          <w:b/>
          <w:u w:val="single"/>
        </w:rPr>
        <w:t>w Update</w:t>
      </w:r>
    </w:p>
    <w:p w:rsidR="00FD2B3D" w:rsidRDefault="00FD2B3D" w:rsidP="00FD2B3D">
      <w:pPr>
        <w:jc w:val="center"/>
        <w:rPr>
          <w:rFonts w:ascii="Arial Narrow" w:hAnsi="Arial Narrow" w:cs="Arial"/>
          <w:b/>
        </w:rPr>
      </w:pPr>
      <w:r>
        <w:rPr>
          <w:rFonts w:ascii="Arial Narrow" w:hAnsi="Arial Narrow" w:cs="Arial"/>
          <w:b/>
        </w:rPr>
        <w:t>WaCASA Conference: November 3, 2018</w:t>
      </w:r>
    </w:p>
    <w:p w:rsidR="00FD2B3D" w:rsidRDefault="00FD2B3D" w:rsidP="00FD2B3D">
      <w:pPr>
        <w:jc w:val="center"/>
        <w:rPr>
          <w:rFonts w:ascii="Arial Narrow" w:hAnsi="Arial Narrow" w:cs="Arial"/>
          <w:b/>
        </w:rPr>
      </w:pPr>
    </w:p>
    <w:p w:rsidR="00FD2B3D" w:rsidRPr="00B3514F" w:rsidRDefault="00FD2B3D" w:rsidP="00FD2B3D">
      <w:pPr>
        <w:jc w:val="center"/>
        <w:rPr>
          <w:rFonts w:ascii="Arial Narrow" w:hAnsi="Arial Narrow" w:cs="Arial"/>
          <w:b/>
        </w:rPr>
      </w:pPr>
      <w:r>
        <w:rPr>
          <w:rFonts w:ascii="Arial Narrow" w:hAnsi="Arial Narrow" w:cs="Arial"/>
          <w:b/>
        </w:rPr>
        <w:t xml:space="preserve">Presented by Carissa Greenberg, AAG, Office of the Attorney General </w:t>
      </w:r>
    </w:p>
    <w:p w:rsidR="00402735" w:rsidRDefault="00402735" w:rsidP="00A84623">
      <w:pPr>
        <w:rPr>
          <w:rFonts w:ascii="Arial Narrow" w:hAnsi="Arial Narrow"/>
          <w:b/>
          <w:smallCaps/>
          <w:u w:val="single"/>
        </w:rPr>
      </w:pPr>
    </w:p>
    <w:p w:rsidR="00A84623" w:rsidRPr="00A84623" w:rsidRDefault="00A84623" w:rsidP="00A84623">
      <w:pPr>
        <w:rPr>
          <w:rFonts w:ascii="Arial Narrow" w:hAnsi="Arial Narrow"/>
          <w:b/>
          <w:smallCaps/>
          <w:u w:val="single"/>
        </w:rPr>
      </w:pPr>
      <w:r w:rsidRPr="00A84623">
        <w:rPr>
          <w:rFonts w:ascii="Arial Narrow" w:hAnsi="Arial Narrow"/>
          <w:b/>
          <w:smallCaps/>
          <w:u w:val="single"/>
        </w:rPr>
        <w:t>Published Washington State Supreme Court Decisions</w:t>
      </w:r>
    </w:p>
    <w:p w:rsidR="00A84623" w:rsidRPr="00A84623" w:rsidRDefault="00A84623" w:rsidP="007D7E97">
      <w:pPr>
        <w:jc w:val="both"/>
        <w:rPr>
          <w:rFonts w:ascii="Arial Narrow" w:hAnsi="Arial Narrow"/>
          <w:color w:val="FF0000"/>
          <w:u w:val="single"/>
        </w:rPr>
      </w:pPr>
      <w:r w:rsidRPr="00A84623">
        <w:rPr>
          <w:rFonts w:ascii="Arial Narrow" w:hAnsi="Arial Narrow"/>
          <w:i/>
          <w:u w:val="single"/>
        </w:rPr>
        <w:t>State v. James-Buhl</w:t>
      </w:r>
      <w:r w:rsidRPr="00A84623">
        <w:rPr>
          <w:rFonts w:ascii="Arial Narrow" w:hAnsi="Arial Narrow"/>
          <w:u w:val="single"/>
        </w:rPr>
        <w:t>, __ P.3d. __ (2018 WL 1867150) (April 19, 2018).</w:t>
      </w:r>
    </w:p>
    <w:p w:rsidR="00A84623" w:rsidRPr="00A84623" w:rsidRDefault="00A84623" w:rsidP="007D7E97">
      <w:pPr>
        <w:jc w:val="both"/>
        <w:rPr>
          <w:rFonts w:ascii="Arial Narrow" w:hAnsi="Arial Narrow"/>
          <w:b/>
          <w:smallCaps/>
          <w:u w:val="single"/>
        </w:rPr>
      </w:pPr>
      <w:r w:rsidRPr="00A84623">
        <w:rPr>
          <w:rFonts w:ascii="Arial Narrow" w:hAnsi="Arial Narrow"/>
        </w:rPr>
        <w:t>A teacher</w:t>
      </w:r>
      <w:r w:rsidR="00536711">
        <w:rPr>
          <w:rFonts w:ascii="Arial Narrow" w:hAnsi="Arial Narrow"/>
        </w:rPr>
        <w:t xml:space="preserve"> does not have a </w:t>
      </w:r>
      <w:r w:rsidRPr="00A84623">
        <w:rPr>
          <w:rFonts w:ascii="Arial Narrow" w:hAnsi="Arial Narrow"/>
        </w:rPr>
        <w:t xml:space="preserve">duty </w:t>
      </w:r>
      <w:r w:rsidR="00536711">
        <w:rPr>
          <w:rFonts w:ascii="Arial Narrow" w:hAnsi="Arial Narrow"/>
        </w:rPr>
        <w:t xml:space="preserve">to report child abuse or neglect </w:t>
      </w:r>
      <w:r w:rsidRPr="00A84623">
        <w:rPr>
          <w:rFonts w:ascii="Arial Narrow" w:hAnsi="Arial Narrow"/>
        </w:rPr>
        <w:t xml:space="preserve">under chapter 26.44 RCW </w:t>
      </w:r>
      <w:r w:rsidR="00536711">
        <w:rPr>
          <w:rFonts w:ascii="Arial Narrow" w:hAnsi="Arial Narrow"/>
        </w:rPr>
        <w:t>unless there is</w:t>
      </w:r>
      <w:r w:rsidRPr="00A84623">
        <w:rPr>
          <w:rFonts w:ascii="Arial Narrow" w:hAnsi="Arial Narrow"/>
        </w:rPr>
        <w:t xml:space="preserve"> some connection </w:t>
      </w:r>
      <w:r w:rsidR="00536711">
        <w:rPr>
          <w:rFonts w:ascii="Arial Narrow" w:hAnsi="Arial Narrow"/>
        </w:rPr>
        <w:t>between the child abuse or neglect and</w:t>
      </w:r>
      <w:r w:rsidRPr="00A84623">
        <w:rPr>
          <w:rFonts w:ascii="Arial Narrow" w:hAnsi="Arial Narrow"/>
        </w:rPr>
        <w:t xml:space="preserve"> </w:t>
      </w:r>
      <w:r w:rsidR="00536711">
        <w:rPr>
          <w:rFonts w:ascii="Arial Narrow" w:hAnsi="Arial Narrow"/>
        </w:rPr>
        <w:t>the teacher’s</w:t>
      </w:r>
      <w:r w:rsidRPr="00A84623">
        <w:rPr>
          <w:rFonts w:ascii="Arial Narrow" w:hAnsi="Arial Narrow"/>
        </w:rPr>
        <w:t xml:space="preserve"> professional identity.</w:t>
      </w:r>
    </w:p>
    <w:p w:rsidR="00A84623" w:rsidRDefault="00A84623" w:rsidP="007D7E97">
      <w:pPr>
        <w:jc w:val="both"/>
        <w:rPr>
          <w:rFonts w:ascii="Arial Narrow" w:hAnsi="Arial Narrow"/>
          <w:b/>
          <w:smallCaps/>
          <w:u w:val="single"/>
        </w:rPr>
      </w:pPr>
    </w:p>
    <w:p w:rsidR="001C2828" w:rsidRPr="001C2828" w:rsidRDefault="001C2828" w:rsidP="007D7E97">
      <w:pPr>
        <w:jc w:val="both"/>
        <w:rPr>
          <w:rFonts w:ascii="Arial Narrow" w:hAnsi="Arial Narrow"/>
          <w:b/>
        </w:rPr>
      </w:pPr>
      <w:r w:rsidRPr="001C2828">
        <w:rPr>
          <w:rFonts w:ascii="Arial Narrow" w:hAnsi="Arial Narrow"/>
          <w:i/>
          <w:u w:val="single"/>
        </w:rPr>
        <w:t>In re Dependency of E.H. (consolidated with In the Matter of S.K.-P.)</w:t>
      </w:r>
      <w:r w:rsidRPr="001C2828">
        <w:rPr>
          <w:rFonts w:ascii="Arial Narrow" w:hAnsi="Arial Narrow"/>
          <w:u w:val="single"/>
        </w:rPr>
        <w:t>, __ P.3d __, 2018 WL 4783412 (October 4, 2018)</w:t>
      </w:r>
    </w:p>
    <w:p w:rsidR="001C2828" w:rsidRDefault="001C2828" w:rsidP="007D7E97">
      <w:pPr>
        <w:jc w:val="both"/>
        <w:rPr>
          <w:rFonts w:ascii="Arial Narrow" w:hAnsi="Arial Narrow"/>
        </w:rPr>
      </w:pPr>
      <w:r w:rsidRPr="001C2828">
        <w:rPr>
          <w:rFonts w:ascii="Arial Narrow" w:hAnsi="Arial Narrow"/>
        </w:rPr>
        <w:t xml:space="preserve">The discretionary standard for appointment in RCW 13.34.100(7)(a) meets constitutional requirements (Owens, Fairhurst, Wiggins, and Johnson, lead opinion; Stephens and Gordon McCloud, concurring in part; Yu, Gonzales and Madsen, dissenting in part).  The lead opinion endorses a case-by-case </w:t>
      </w:r>
      <w:r w:rsidRPr="001C2828">
        <w:rPr>
          <w:rFonts w:ascii="Arial Narrow" w:hAnsi="Arial Narrow"/>
          <w:i/>
        </w:rPr>
        <w:t>Mathews</w:t>
      </w:r>
      <w:r w:rsidRPr="001C2828">
        <w:rPr>
          <w:rFonts w:ascii="Arial Narrow" w:hAnsi="Arial Narrow"/>
        </w:rPr>
        <w:t xml:space="preserve"> analysis to determine whether appointment of an attorney is required, at an early practicable time in the dependency case, with findings supporting the court’s ruling made on the record.  In deciding whether appointment is required, trial courts should consider at least: the age of the child, whether the child is in the legal or physical custody of the State (versus a parent), whether the child’s stated interests are aligned with the GAL’s assessment of the child’s best interests or with another represented party’s desires, whether the child disputes the facts that form a basis for the dependency, whether the child presents a complex argument against the State’s proposed action, and the issues that are actually disputed or to be addressed in the hearing.  Decision, at 21-22.  In addition, the court’s basis for the denial of a request should be stated succinctly on the record.  </w:t>
      </w:r>
      <w:r w:rsidRPr="001C2828">
        <w:rPr>
          <w:rFonts w:ascii="Arial Narrow" w:hAnsi="Arial Narrow"/>
          <w:i/>
        </w:rPr>
        <w:t xml:space="preserve">Id. </w:t>
      </w:r>
      <w:r w:rsidRPr="001C2828">
        <w:rPr>
          <w:rFonts w:ascii="Arial Narrow" w:hAnsi="Arial Narrow"/>
        </w:rPr>
        <w:t xml:space="preserve">at 16.  The burden for a motion seeking appointment is preponderance of the evidence with no presumption against appointment.  </w:t>
      </w:r>
      <w:r w:rsidRPr="001C2828">
        <w:rPr>
          <w:rFonts w:ascii="Arial Narrow" w:hAnsi="Arial Narrow"/>
          <w:i/>
        </w:rPr>
        <w:t>Id.</w:t>
      </w:r>
      <w:r w:rsidRPr="001C2828">
        <w:rPr>
          <w:rFonts w:ascii="Arial Narrow" w:hAnsi="Arial Narrow"/>
        </w:rPr>
        <w:t xml:space="preserve"> at 17.</w:t>
      </w:r>
    </w:p>
    <w:p w:rsidR="00D433E3" w:rsidRPr="001C2828" w:rsidRDefault="00D433E3" w:rsidP="007D7E97">
      <w:pPr>
        <w:jc w:val="both"/>
        <w:rPr>
          <w:rFonts w:ascii="Arial Narrow" w:hAnsi="Arial Narrow"/>
        </w:rPr>
      </w:pPr>
    </w:p>
    <w:p w:rsidR="00A84623" w:rsidRPr="00A84623" w:rsidRDefault="00A84623" w:rsidP="007D7E97">
      <w:pPr>
        <w:jc w:val="both"/>
        <w:rPr>
          <w:rFonts w:ascii="Arial Narrow" w:hAnsi="Arial Narrow"/>
          <w:b/>
          <w:smallCaps/>
          <w:u w:val="single"/>
        </w:rPr>
      </w:pPr>
      <w:r w:rsidRPr="00A84623">
        <w:rPr>
          <w:rFonts w:ascii="Arial Narrow" w:hAnsi="Arial Narrow"/>
          <w:b/>
          <w:smallCaps/>
          <w:u w:val="single"/>
        </w:rPr>
        <w:t>Published Court of Appeals Decisions</w:t>
      </w:r>
    </w:p>
    <w:p w:rsidR="00996342" w:rsidRPr="00A84623" w:rsidRDefault="00996342" w:rsidP="00996342">
      <w:pPr>
        <w:jc w:val="both"/>
        <w:rPr>
          <w:rFonts w:ascii="Arial Narrow" w:hAnsi="Arial Narrow"/>
          <w:u w:val="single"/>
        </w:rPr>
      </w:pPr>
      <w:r w:rsidRPr="00A84623">
        <w:rPr>
          <w:rFonts w:ascii="Arial Narrow" w:hAnsi="Arial Narrow"/>
          <w:i/>
          <w:u w:val="single"/>
        </w:rPr>
        <w:t>In re Dependency of J.E.R.C</w:t>
      </w:r>
      <w:r w:rsidRPr="00A84623">
        <w:rPr>
          <w:rFonts w:ascii="Arial Narrow" w:hAnsi="Arial Narrow"/>
          <w:u w:val="single"/>
        </w:rPr>
        <w:t>., 1 Wn. App. 2d 765, 406 P.3d 1187 (2017).</w:t>
      </w:r>
    </w:p>
    <w:p w:rsidR="00996342" w:rsidRPr="00A84623" w:rsidRDefault="00996342" w:rsidP="00996342">
      <w:pPr>
        <w:pStyle w:val="Default"/>
        <w:jc w:val="both"/>
        <w:rPr>
          <w:rFonts w:ascii="Arial Narrow" w:hAnsi="Arial Narrow"/>
          <w:bCs/>
        </w:rPr>
      </w:pPr>
      <w:r w:rsidRPr="00A84623">
        <w:rPr>
          <w:rFonts w:ascii="Arial Narrow" w:hAnsi="Arial Narrow"/>
        </w:rPr>
        <w:t>When the appellate court is considering discretionary review of an interlocutory order entered in a dependency proceeding, appellate counsel may move to withdraw when there is no meritorious issue regarding which to seek review, and need not continue pursuing moot or frivolous issues.</w:t>
      </w:r>
    </w:p>
    <w:p w:rsidR="00996342" w:rsidRPr="00A84623" w:rsidRDefault="00996342">
      <w:pPr>
        <w:jc w:val="both"/>
        <w:rPr>
          <w:rFonts w:ascii="Arial Narrow" w:hAnsi="Arial Narrow"/>
          <w:i/>
          <w:u w:val="single"/>
        </w:rPr>
      </w:pPr>
    </w:p>
    <w:p w:rsidR="00A84623" w:rsidRPr="00A84623" w:rsidRDefault="00A84623" w:rsidP="007D7E97">
      <w:pPr>
        <w:jc w:val="both"/>
        <w:rPr>
          <w:rFonts w:ascii="Arial Narrow" w:hAnsi="Arial Narrow"/>
          <w:u w:val="single"/>
        </w:rPr>
      </w:pPr>
      <w:r w:rsidRPr="00A84623">
        <w:rPr>
          <w:rFonts w:ascii="Arial Narrow" w:hAnsi="Arial Narrow"/>
          <w:i/>
          <w:u w:val="single"/>
        </w:rPr>
        <w:t>In re Dependency of J.E.D.A. Jr.</w:t>
      </w:r>
      <w:r w:rsidRPr="00A84623">
        <w:rPr>
          <w:rFonts w:ascii="Arial Narrow" w:hAnsi="Arial Narrow"/>
          <w:u w:val="single"/>
        </w:rPr>
        <w:t xml:space="preserve">, </w:t>
      </w:r>
      <w:r w:rsidR="001C2828">
        <w:rPr>
          <w:rFonts w:ascii="Arial Narrow" w:hAnsi="Arial Narrow"/>
          <w:u w:val="single"/>
        </w:rPr>
        <w:t>2</w:t>
      </w:r>
      <w:r w:rsidRPr="00A84623">
        <w:rPr>
          <w:rFonts w:ascii="Arial Narrow" w:hAnsi="Arial Narrow"/>
          <w:u w:val="single"/>
        </w:rPr>
        <w:t xml:space="preserve"> Wn. App.</w:t>
      </w:r>
      <w:r w:rsidR="001C2828">
        <w:rPr>
          <w:rFonts w:ascii="Arial Narrow" w:hAnsi="Arial Narrow"/>
          <w:u w:val="single"/>
        </w:rPr>
        <w:t xml:space="preserve"> 2d</w:t>
      </w:r>
      <w:r w:rsidRPr="00A84623">
        <w:rPr>
          <w:rFonts w:ascii="Arial Narrow" w:hAnsi="Arial Narrow"/>
          <w:u w:val="single"/>
        </w:rPr>
        <w:t xml:space="preserve"> </w:t>
      </w:r>
      <w:r w:rsidR="001C2828">
        <w:rPr>
          <w:rFonts w:ascii="Arial Narrow" w:hAnsi="Arial Narrow"/>
          <w:u w:val="single"/>
        </w:rPr>
        <w:t>764</w:t>
      </w:r>
      <w:r w:rsidRPr="00A84623">
        <w:rPr>
          <w:rFonts w:ascii="Arial Narrow" w:hAnsi="Arial Narrow"/>
          <w:u w:val="single"/>
        </w:rPr>
        <w:t>, 413 P.3d 574 (2018).</w:t>
      </w:r>
      <w:r w:rsidRPr="00A84623">
        <w:rPr>
          <w:rFonts w:ascii="Arial Narrow" w:hAnsi="Arial Narrow"/>
          <w:color w:val="FF0000"/>
        </w:rPr>
        <w:t xml:space="preserve">  </w:t>
      </w:r>
    </w:p>
    <w:p w:rsidR="00A84623" w:rsidRPr="00A84623" w:rsidRDefault="00A84623" w:rsidP="007D7E97">
      <w:pPr>
        <w:jc w:val="both"/>
        <w:rPr>
          <w:rFonts w:ascii="Arial Narrow" w:hAnsi="Arial Narrow"/>
        </w:rPr>
      </w:pPr>
      <w:r w:rsidRPr="00A84623">
        <w:rPr>
          <w:rFonts w:ascii="Arial Narrow" w:hAnsi="Arial Narrow"/>
        </w:rPr>
        <w:t xml:space="preserve">Trial court was required to ensure that interpreter was qualified as required in RCW 2.43.030 in dependency proceedings concerning minor child, whose aunt, the child’s purported guardian, spoke only Chuukese, a language native to Micronesia. </w:t>
      </w:r>
    </w:p>
    <w:p w:rsidR="00A84623" w:rsidRPr="00A84623" w:rsidRDefault="00A84623" w:rsidP="007D7E97">
      <w:pPr>
        <w:jc w:val="both"/>
        <w:rPr>
          <w:rFonts w:ascii="Arial Narrow" w:hAnsi="Arial Narrow"/>
          <w:i/>
          <w:u w:val="single"/>
        </w:rPr>
      </w:pPr>
    </w:p>
    <w:p w:rsidR="00402735" w:rsidRPr="00402735" w:rsidRDefault="00A84623" w:rsidP="007D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iCs/>
          <w:u w:val="single"/>
        </w:rPr>
      </w:pPr>
      <w:r w:rsidRPr="00A84623">
        <w:rPr>
          <w:rFonts w:ascii="Arial Narrow" w:hAnsi="Arial Narrow"/>
          <w:i/>
          <w:iCs/>
          <w:u w:val="single"/>
        </w:rPr>
        <w:t>In re Dependency of M.-A.F.-S.</w:t>
      </w:r>
      <w:r w:rsidRPr="00A84623">
        <w:rPr>
          <w:rFonts w:ascii="Arial Narrow" w:hAnsi="Arial Narrow"/>
          <w:iCs/>
          <w:u w:val="single"/>
        </w:rPr>
        <w:t xml:space="preserve">, </w:t>
      </w:r>
      <w:r w:rsidR="001C2828">
        <w:rPr>
          <w:rFonts w:ascii="Arial Narrow" w:hAnsi="Arial Narrow"/>
          <w:iCs/>
          <w:u w:val="single"/>
        </w:rPr>
        <w:t>4 Wn. App. 2d 425, 421 P.3d 482</w:t>
      </w:r>
      <w:r w:rsidRPr="00A84623">
        <w:rPr>
          <w:rFonts w:ascii="Arial Narrow" w:hAnsi="Arial Narrow"/>
          <w:iCs/>
          <w:u w:val="single"/>
        </w:rPr>
        <w:t xml:space="preserve"> (2018)</w:t>
      </w:r>
      <w:r w:rsidR="00402735">
        <w:rPr>
          <w:rFonts w:ascii="Arial Narrow" w:hAnsi="Arial Narrow"/>
          <w:iCs/>
          <w:u w:val="single"/>
        </w:rPr>
        <w:t xml:space="preserve"> (motion for discretionary review pending)</w:t>
      </w:r>
    </w:p>
    <w:p w:rsidR="00A84623" w:rsidRPr="00A84623" w:rsidRDefault="00A84623" w:rsidP="007D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iCs/>
        </w:rPr>
      </w:pPr>
      <w:r w:rsidRPr="00A84623">
        <w:rPr>
          <w:rFonts w:ascii="Arial Narrow" w:hAnsi="Arial Narrow"/>
        </w:rPr>
        <w:t>The termination statutes are facially constitutional and survive strict scrutiny because they are narrowly tailored to achieve the State’s compelling interest in preventing harm to children.  “[W]hen terminating parental rights, the court has necessarily found by clear, cogent, and convincing evidence that continuation of the parental relationship is harmful to the child.  At this point, continuation of the dependency rather than termination of parental rights would impede, not facilitate, the goal of permanency by effectively prolonging the ‘limbo’ of foster care.”  As the state Supreme Court has repeatedly held, the termination statutes do not require the existence of an adoptive family or permanent placement for the child.</w:t>
      </w:r>
      <w:bookmarkStart w:id="0" w:name="_GoBack"/>
      <w:bookmarkEnd w:id="0"/>
    </w:p>
    <w:p w:rsidR="00E54FD8" w:rsidRPr="00B3514F" w:rsidRDefault="00E54FD8">
      <w:pPr>
        <w:rPr>
          <w:rFonts w:ascii="Arial Narrow" w:hAnsi="Arial Narrow"/>
        </w:rPr>
      </w:pPr>
    </w:p>
    <w:sectPr w:rsidR="00E54FD8" w:rsidRPr="00B3514F" w:rsidSect="003E4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D88"/>
    <w:multiLevelType w:val="hybridMultilevel"/>
    <w:tmpl w:val="F25C5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666DB"/>
    <w:multiLevelType w:val="hybridMultilevel"/>
    <w:tmpl w:val="50044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F3E19"/>
    <w:multiLevelType w:val="hybridMultilevel"/>
    <w:tmpl w:val="CE80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50089"/>
    <w:multiLevelType w:val="hybridMultilevel"/>
    <w:tmpl w:val="90601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82CEE"/>
    <w:multiLevelType w:val="hybridMultilevel"/>
    <w:tmpl w:val="A53EE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9621B"/>
    <w:multiLevelType w:val="hybridMultilevel"/>
    <w:tmpl w:val="D0CA5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27BB"/>
    <w:multiLevelType w:val="hybridMultilevel"/>
    <w:tmpl w:val="4FC24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B25B8A"/>
    <w:multiLevelType w:val="hybridMultilevel"/>
    <w:tmpl w:val="2732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92842"/>
    <w:multiLevelType w:val="hybridMultilevel"/>
    <w:tmpl w:val="4E9C05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A0C1BA3"/>
    <w:multiLevelType w:val="hybridMultilevel"/>
    <w:tmpl w:val="1444B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605AA4"/>
    <w:multiLevelType w:val="hybridMultilevel"/>
    <w:tmpl w:val="4206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10"/>
  </w:num>
  <w:num w:numId="6">
    <w:abstractNumId w:val="7"/>
  </w:num>
  <w:num w:numId="7">
    <w:abstractNumId w:val="2"/>
  </w:num>
  <w:num w:numId="8">
    <w:abstractNumId w:val="5"/>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4B"/>
    <w:rsid w:val="000165E4"/>
    <w:rsid w:val="00017B19"/>
    <w:rsid w:val="00032469"/>
    <w:rsid w:val="000508B7"/>
    <w:rsid w:val="000533DD"/>
    <w:rsid w:val="00067473"/>
    <w:rsid w:val="000708AD"/>
    <w:rsid w:val="000F6512"/>
    <w:rsid w:val="0012120B"/>
    <w:rsid w:val="00125407"/>
    <w:rsid w:val="00144728"/>
    <w:rsid w:val="00151DFE"/>
    <w:rsid w:val="0015478D"/>
    <w:rsid w:val="001849A0"/>
    <w:rsid w:val="00192B5F"/>
    <w:rsid w:val="001C2828"/>
    <w:rsid w:val="00226D9B"/>
    <w:rsid w:val="002438A9"/>
    <w:rsid w:val="0025349B"/>
    <w:rsid w:val="00272A6F"/>
    <w:rsid w:val="002D2214"/>
    <w:rsid w:val="002F15F4"/>
    <w:rsid w:val="00312C47"/>
    <w:rsid w:val="00352C43"/>
    <w:rsid w:val="00366C0E"/>
    <w:rsid w:val="003A786A"/>
    <w:rsid w:val="003C4A4C"/>
    <w:rsid w:val="003E0BFA"/>
    <w:rsid w:val="003E0EEC"/>
    <w:rsid w:val="003E404B"/>
    <w:rsid w:val="00402735"/>
    <w:rsid w:val="0041541D"/>
    <w:rsid w:val="004321FD"/>
    <w:rsid w:val="00436470"/>
    <w:rsid w:val="004406C8"/>
    <w:rsid w:val="0046209D"/>
    <w:rsid w:val="00462BE9"/>
    <w:rsid w:val="0048544B"/>
    <w:rsid w:val="004862A1"/>
    <w:rsid w:val="00491B7D"/>
    <w:rsid w:val="004A667D"/>
    <w:rsid w:val="004B1596"/>
    <w:rsid w:val="004D1465"/>
    <w:rsid w:val="004D35EE"/>
    <w:rsid w:val="004F0E7F"/>
    <w:rsid w:val="00500A6F"/>
    <w:rsid w:val="0050383E"/>
    <w:rsid w:val="00507A5B"/>
    <w:rsid w:val="00510B38"/>
    <w:rsid w:val="00536711"/>
    <w:rsid w:val="00544015"/>
    <w:rsid w:val="005751F1"/>
    <w:rsid w:val="00584FEB"/>
    <w:rsid w:val="005C1A1E"/>
    <w:rsid w:val="005D05A3"/>
    <w:rsid w:val="005D73DF"/>
    <w:rsid w:val="005E702B"/>
    <w:rsid w:val="005F2513"/>
    <w:rsid w:val="00611BFD"/>
    <w:rsid w:val="00640821"/>
    <w:rsid w:val="00640D5F"/>
    <w:rsid w:val="0065313C"/>
    <w:rsid w:val="00653524"/>
    <w:rsid w:val="00676115"/>
    <w:rsid w:val="006A7BD0"/>
    <w:rsid w:val="006F206B"/>
    <w:rsid w:val="0070501E"/>
    <w:rsid w:val="00710F10"/>
    <w:rsid w:val="0073317E"/>
    <w:rsid w:val="00757BCE"/>
    <w:rsid w:val="00783F45"/>
    <w:rsid w:val="007A1566"/>
    <w:rsid w:val="007D7E97"/>
    <w:rsid w:val="007E5B6E"/>
    <w:rsid w:val="007F1B8C"/>
    <w:rsid w:val="007F7B23"/>
    <w:rsid w:val="008113F3"/>
    <w:rsid w:val="00861EC1"/>
    <w:rsid w:val="0087450C"/>
    <w:rsid w:val="008748D8"/>
    <w:rsid w:val="008D7E9C"/>
    <w:rsid w:val="008E7AA0"/>
    <w:rsid w:val="00921C02"/>
    <w:rsid w:val="00936E0D"/>
    <w:rsid w:val="009877C3"/>
    <w:rsid w:val="00996342"/>
    <w:rsid w:val="009E581B"/>
    <w:rsid w:val="00A2343A"/>
    <w:rsid w:val="00A27217"/>
    <w:rsid w:val="00A439D5"/>
    <w:rsid w:val="00A57DFB"/>
    <w:rsid w:val="00A70007"/>
    <w:rsid w:val="00A84623"/>
    <w:rsid w:val="00AC17E1"/>
    <w:rsid w:val="00B04A68"/>
    <w:rsid w:val="00B13067"/>
    <w:rsid w:val="00B13A3A"/>
    <w:rsid w:val="00B3514F"/>
    <w:rsid w:val="00B54F99"/>
    <w:rsid w:val="00B679FB"/>
    <w:rsid w:val="00B76A3A"/>
    <w:rsid w:val="00B8551C"/>
    <w:rsid w:val="00BE6890"/>
    <w:rsid w:val="00BE7B14"/>
    <w:rsid w:val="00C11E25"/>
    <w:rsid w:val="00C16309"/>
    <w:rsid w:val="00C71481"/>
    <w:rsid w:val="00CB1CE4"/>
    <w:rsid w:val="00CC5ECB"/>
    <w:rsid w:val="00CE4EDC"/>
    <w:rsid w:val="00D038D2"/>
    <w:rsid w:val="00D03B4C"/>
    <w:rsid w:val="00D12392"/>
    <w:rsid w:val="00D33992"/>
    <w:rsid w:val="00D433E3"/>
    <w:rsid w:val="00DB5223"/>
    <w:rsid w:val="00DC598D"/>
    <w:rsid w:val="00DF7B70"/>
    <w:rsid w:val="00E3172F"/>
    <w:rsid w:val="00E54558"/>
    <w:rsid w:val="00E54FD8"/>
    <w:rsid w:val="00E65711"/>
    <w:rsid w:val="00E7634B"/>
    <w:rsid w:val="00E87693"/>
    <w:rsid w:val="00EC16B1"/>
    <w:rsid w:val="00ED7F14"/>
    <w:rsid w:val="00F01F92"/>
    <w:rsid w:val="00F25AC4"/>
    <w:rsid w:val="00F70719"/>
    <w:rsid w:val="00FB1D03"/>
    <w:rsid w:val="00FC3B18"/>
    <w:rsid w:val="00FD2B3D"/>
    <w:rsid w:val="00FD628F"/>
    <w:rsid w:val="00FF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73E97-8FB7-49C6-8479-0758583B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693"/>
    <w:pPr>
      <w:ind w:left="720"/>
      <w:contextualSpacing/>
    </w:pPr>
  </w:style>
  <w:style w:type="paragraph" w:styleId="BalloonText">
    <w:name w:val="Balloon Text"/>
    <w:basedOn w:val="Normal"/>
    <w:link w:val="BalloonTextChar"/>
    <w:uiPriority w:val="99"/>
    <w:semiHidden/>
    <w:unhideWhenUsed/>
    <w:rsid w:val="009E581B"/>
    <w:rPr>
      <w:rFonts w:ascii="Tahoma" w:hAnsi="Tahoma" w:cs="Tahoma"/>
      <w:sz w:val="16"/>
      <w:szCs w:val="16"/>
    </w:rPr>
  </w:style>
  <w:style w:type="character" w:customStyle="1" w:styleId="BalloonTextChar">
    <w:name w:val="Balloon Text Char"/>
    <w:basedOn w:val="DefaultParagraphFont"/>
    <w:link w:val="BalloonText"/>
    <w:uiPriority w:val="99"/>
    <w:semiHidden/>
    <w:rsid w:val="009E581B"/>
    <w:rPr>
      <w:rFonts w:ascii="Tahoma" w:hAnsi="Tahoma" w:cs="Tahoma"/>
      <w:sz w:val="16"/>
      <w:szCs w:val="16"/>
    </w:rPr>
  </w:style>
  <w:style w:type="character" w:styleId="Hyperlink">
    <w:name w:val="Hyperlink"/>
    <w:basedOn w:val="DefaultParagraphFont"/>
    <w:uiPriority w:val="99"/>
    <w:unhideWhenUsed/>
    <w:rsid w:val="00D12392"/>
    <w:rPr>
      <w:color w:val="0000FF" w:themeColor="hyperlink"/>
      <w:u w:val="single"/>
    </w:rPr>
  </w:style>
  <w:style w:type="character" w:styleId="FollowedHyperlink">
    <w:name w:val="FollowedHyperlink"/>
    <w:basedOn w:val="DefaultParagraphFont"/>
    <w:uiPriority w:val="99"/>
    <w:semiHidden/>
    <w:unhideWhenUsed/>
    <w:rsid w:val="005C1A1E"/>
    <w:rPr>
      <w:color w:val="800080" w:themeColor="followedHyperlink"/>
      <w:u w:val="single"/>
    </w:rPr>
  </w:style>
  <w:style w:type="paragraph" w:customStyle="1" w:styleId="Default">
    <w:name w:val="Default"/>
    <w:rsid w:val="00A84623"/>
    <w:pPr>
      <w:autoSpaceDE w:val="0"/>
      <w:autoSpaceDN w:val="0"/>
      <w:adjustRightInd w:val="0"/>
    </w:pPr>
    <w:rPr>
      <w:color w:val="000000"/>
    </w:rPr>
  </w:style>
  <w:style w:type="character" w:styleId="CommentReference">
    <w:name w:val="annotation reference"/>
    <w:basedOn w:val="DefaultParagraphFont"/>
    <w:uiPriority w:val="99"/>
    <w:semiHidden/>
    <w:unhideWhenUsed/>
    <w:rsid w:val="00536711"/>
    <w:rPr>
      <w:sz w:val="16"/>
      <w:szCs w:val="16"/>
    </w:rPr>
  </w:style>
  <w:style w:type="paragraph" w:styleId="CommentText">
    <w:name w:val="annotation text"/>
    <w:basedOn w:val="Normal"/>
    <w:link w:val="CommentTextChar"/>
    <w:uiPriority w:val="99"/>
    <w:semiHidden/>
    <w:unhideWhenUsed/>
    <w:rsid w:val="00536711"/>
    <w:rPr>
      <w:sz w:val="20"/>
      <w:szCs w:val="20"/>
    </w:rPr>
  </w:style>
  <w:style w:type="character" w:customStyle="1" w:styleId="CommentTextChar">
    <w:name w:val="Comment Text Char"/>
    <w:basedOn w:val="DefaultParagraphFont"/>
    <w:link w:val="CommentText"/>
    <w:uiPriority w:val="99"/>
    <w:semiHidden/>
    <w:rsid w:val="00536711"/>
    <w:rPr>
      <w:sz w:val="20"/>
      <w:szCs w:val="20"/>
    </w:rPr>
  </w:style>
  <w:style w:type="paragraph" w:styleId="CommentSubject">
    <w:name w:val="annotation subject"/>
    <w:basedOn w:val="CommentText"/>
    <w:next w:val="CommentText"/>
    <w:link w:val="CommentSubjectChar"/>
    <w:uiPriority w:val="99"/>
    <w:semiHidden/>
    <w:unhideWhenUsed/>
    <w:rsid w:val="00536711"/>
    <w:rPr>
      <w:b/>
      <w:bCs/>
    </w:rPr>
  </w:style>
  <w:style w:type="character" w:customStyle="1" w:styleId="CommentSubjectChar">
    <w:name w:val="Comment Subject Char"/>
    <w:basedOn w:val="CommentTextChar"/>
    <w:link w:val="CommentSubject"/>
    <w:uiPriority w:val="99"/>
    <w:semiHidden/>
    <w:rsid w:val="005367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filesext.leg.wa.gov/biennium/2017-18/Pdf/Bills/Session%20Laws/House/2700-S.SL.pdf" TargetMode="External"/><Relationship Id="rId18" Type="http://schemas.openxmlformats.org/officeDocument/2006/relationships/hyperlink" Target="http://lawfilesext.leg.wa.gov/biennium/2017-18/Pdf/Bills/Session%20Laws/Senate/6274-S2.S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filesext.leg.wa.gov/biennium/2017-18/Pdf/Bills/Session%20Laws/House/2785.SL.pdf" TargetMode="External"/><Relationship Id="rId17" Type="http://schemas.openxmlformats.org/officeDocument/2006/relationships/hyperlink" Target="http://lawfilesext.leg.wa.gov/biennium/2017-18/Pdf/Bills/Session%20Laws/Senate/5598.SL.pdf" TargetMode="External"/><Relationship Id="rId2" Type="http://schemas.openxmlformats.org/officeDocument/2006/relationships/customXml" Target="../customXml/item2.xml"/><Relationship Id="rId16" Type="http://schemas.openxmlformats.org/officeDocument/2006/relationships/hyperlink" Target="http://lawfilesext.leg.wa.gov/biennium/2017-18/Pdf/Bills/Session%20Laws/Senate/6309-S.S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filesext.leg.wa.gov/biennium/2017-18/Pdf/Bills/Session%20Laws/House/1790.SL.pdf" TargetMode="External"/><Relationship Id="rId5" Type="http://schemas.openxmlformats.org/officeDocument/2006/relationships/numbering" Target="numbering.xml"/><Relationship Id="rId15" Type="http://schemas.openxmlformats.org/officeDocument/2006/relationships/hyperlink" Target="http://lawfilesext.leg.wa.gov/biennium/2017-18/Pdf/Bills/Session%20Laws/House/2008.SL.pdf" TargetMode="External"/><Relationship Id="rId10" Type="http://schemas.openxmlformats.org/officeDocument/2006/relationships/hyperlink" Target="http://lawfilesext.leg.wa.gov/biennium/2017-18/Pdf/Bills/Session%20Laws/Senate/6453-S2.SL.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lawfilesext.leg.wa.gov/biennium/2017-18/Pdf/Bills/Session%20Laws/Senate/6453-S2.SL.pdf" TargetMode="External"/><Relationship Id="rId14" Type="http://schemas.openxmlformats.org/officeDocument/2006/relationships/hyperlink" Target="http://lawfilesext.leg.wa.gov/biennium/2017-18/Pdf/Bills/Session%20Laws/Senate/6222-S.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CAC990D0D004BBF8888AF321FF7D1" ma:contentTypeVersion="7" ma:contentTypeDescription="Create a new document." ma:contentTypeScope="" ma:versionID="c27147fb04b3a88dcab164462e40a62d">
  <xsd:schema xmlns:xsd="http://www.w3.org/2001/XMLSchema" xmlns:xs="http://www.w3.org/2001/XMLSchema" xmlns:p="http://schemas.microsoft.com/office/2006/metadata/properties" xmlns:ns2="0ea11773-2e44-49b3-9d05-8ddf377aef40" xmlns:ns3="http://schemas.microsoft.com/sharepoint/v4" targetNamespace="http://schemas.microsoft.com/office/2006/metadata/properties" ma:root="true" ma:fieldsID="aee9a3d41ba7a5b4cf0c35408869b607" ns2:_="" ns3:_="">
    <xsd:import namespace="0ea11773-2e44-49b3-9d05-8ddf377aef40"/>
    <xsd:import namespace="http://schemas.microsoft.com/sharepoint/v4"/>
    <xsd:element name="properties">
      <xsd:complexType>
        <xsd:sequence>
          <xsd:element name="documentManagement">
            <xsd:complexType>
              <xsd:all>
                <xsd:element ref="ns2: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11773-2e44-49b3-9d05-8ddf377aef40" elementFormDefault="qualified">
    <xsd:import namespace="http://schemas.microsoft.com/office/2006/documentManagement/types"/>
    <xsd:import namespace="http://schemas.microsoft.com/office/infopath/2007/PartnerControls"/>
    <xsd:element name="Date" ma:index="2" nillable="true" ma:displayName="Date" ma:format="Dropdown" ma:internalName="Date">
      <xsd:simpleType>
        <xsd:restriction base="dms:Choice">
          <xsd:enumeration value="3.19.08"/>
          <xsd:enumeration value="4.10.08"/>
          <xsd:enumeration value="6.4.08"/>
          <xsd:enumeration value="8.14.08"/>
          <xsd:enumeration value="11.5.08"/>
          <xsd:enumeration value="3.26.09"/>
          <xsd:enumeration value="7.9.09"/>
          <xsd:enumeration value="5.6.10"/>
          <xsd:enumeration value="3.25.10"/>
          <xsd:enumeration value="10.14.10"/>
          <xsd:enumeration value="12.2.10"/>
          <xsd:enumeration value="3.10.11"/>
          <xsd:enumeration value="8.25.11"/>
          <xsd:enumeration value="4.9.12"/>
          <xsd:enumeration value="8.23.12"/>
          <xsd:enumeration value="12.10.12"/>
          <xsd:enumeration value="4.25.13"/>
          <xsd:enumeration value="12.3.13"/>
          <xsd:enumeration value="5.1.14"/>
          <xsd:enumeration value="11.05.2014"/>
          <xsd:enumeration value="11.13.2017"/>
          <xsd:enumeration value="2008.06.04"/>
          <xsd:enumeration value="2008.08.14"/>
          <xsd:enumeration value="2008.11.05"/>
          <xsd:enumeration value="2009.03.26"/>
          <xsd:enumeration value="2009.07.09"/>
          <xsd:enumeration value="2010.05.06"/>
          <xsd:enumeration value="2010.12.02"/>
          <xsd:enumeration value="2011.03.11"/>
          <xsd:enumeration value="2011.08.25"/>
          <xsd:enumeration value="2012.04.09"/>
          <xsd:enumeration value="2012.08.23"/>
          <xsd:enumeration value="2013.04.25"/>
          <xsd:enumeration value="2013.12.03"/>
          <xsd:enumeration value="2014.05.01"/>
          <xsd:enumeration value="2015.03.05"/>
          <xsd:enumeration value="2017.10.26"/>
          <xsd:enumeration value="2018.05.03"/>
          <xsd:enumeration value="2018.07.17"/>
          <xsd:enumeration value="2018.10.2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 xmlns="0ea11773-2e44-49b3-9d05-8ddf377aef40">2018.05.03</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FC50C8-AE51-41D4-BEAF-94D34FD78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11773-2e44-49b3-9d05-8ddf377aef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C7402-5AF5-4D2C-9CED-213D2AF90D33}">
  <ds:schemaRefs>
    <ds:schemaRef ds:uri="http://purl.org/dc/elements/1.1/"/>
    <ds:schemaRef ds:uri="0ea11773-2e44-49b3-9d05-8ddf377aef40"/>
    <ds:schemaRef ds:uri="http://schemas.microsoft.com/office/2006/documentManagement/types"/>
    <ds:schemaRef ds:uri="http://schemas.microsoft.com/sharepoint/v4"/>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FFB9C34-658E-4A1C-9FCE-DC72DF41660E}">
  <ds:schemaRefs>
    <ds:schemaRef ds:uri="http://schemas.microsoft.com/sharepoint/v3/contenttype/forms"/>
  </ds:schemaRefs>
</ds:datastoreItem>
</file>

<file path=customXml/itemProps4.xml><?xml version="1.0" encoding="utf-8"?>
<ds:datastoreItem xmlns:ds="http://schemas.openxmlformats.org/officeDocument/2006/customXml" ds:itemID="{3871F19A-B34F-494B-890B-0CCC43CBE6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Legislative Update - May 2018</vt:lpstr>
    </vt:vector>
  </TitlesOfParts>
  <Company>Office of the Attorney General</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May 2018</dc:title>
  <dc:creator>Greenberg, Carissa (ATG)</dc:creator>
  <cp:lastModifiedBy>Greenberg, Carissa (ATG)</cp:lastModifiedBy>
  <cp:revision>2</cp:revision>
  <cp:lastPrinted>2017-04-18T19:19:00Z</cp:lastPrinted>
  <dcterms:created xsi:type="dcterms:W3CDTF">2018-10-26T19:51:00Z</dcterms:created>
  <dcterms:modified xsi:type="dcterms:W3CDTF">2018-10-26T19:51:00Z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0x010100A60CAC990D0D004BBF8888AF321FF7D1</vt:lpwstr>
  </property>
  <property fmtid="{D5CDD505-2E9C-101B-9397-08002B2CF9AE}" pid="3" name="_dlc_DocIdItemGuid">
    <vt:lpwstr>61243717-ac41-4c4a-82f9-6aa073a7f48e</vt:lpwstr>
  </property>
  <property fmtid="{D5CDD505-2E9C-101B-9397-08002B2CF9AE}" pid="4" name="_dlc_DocId">
    <vt:lpwstr>ZZD3657U62HA-1869745137-298</vt:lpwstr>
  </property>
  <property fmtid="{D5CDD505-2E9C-101B-9397-08002B2CF9AE}" pid="5" name="_dlc_DocIdUrl">
    <vt:lpwstr>http://ace/Divisions/SHO/juvlit/_layouts/15/DocIdRedir.aspx?ID=ZZD3657U62HA-1869745137-298, ZZD3657U62HA-1869745137-298</vt:lpwstr>
  </property>
  <property fmtid="{D5CDD505-2E9C-101B-9397-08002B2CF9AE}" pid="6" name="Search Category">
    <vt:lpwstr>Legislative Update</vt:lpwstr>
  </property>
  <property fmtid="{D5CDD505-2E9C-101B-9397-08002B2CF9AE}" pid="7" name="Status">
    <vt:lpwstr>Active</vt:lpwstr>
  </property>
  <property fmtid="{D5CDD505-2E9C-101B-9397-08002B2CF9AE}" pid="8" name="_AdHocReviewCycleID">
    <vt:i4>327480914</vt:i4>
  </property>
  <property fmtid="{D5CDD505-2E9C-101B-9397-08002B2CF9AE}" pid="9" name="_NewReviewCycle">
    <vt:lpwstr/>
  </property>
  <property fmtid="{D5CDD505-2E9C-101B-9397-08002B2CF9AE}" pid="10" name="_EmailSubject">
    <vt:lpwstr>Handout for Case Law/Leg Update Presentation at WaCASA</vt:lpwstr>
  </property>
  <property fmtid="{D5CDD505-2E9C-101B-9397-08002B2CF9AE}" pid="11" name="_AuthorEmail">
    <vt:lpwstr>CarissaG@ATG.WA.GOV</vt:lpwstr>
  </property>
  <property fmtid="{D5CDD505-2E9C-101B-9397-08002B2CF9AE}" pid="12" name="_AuthorEmailDisplayName">
    <vt:lpwstr>Greenberg, Carissa (ATG)</vt:lpwstr>
  </property>
  <property fmtid="{D5CDD505-2E9C-101B-9397-08002B2CF9AE}" pid="14" name="_PreviousAdHocReviewCycleID">
    <vt:i4>-863623562</vt:i4>
  </property>
</Properties>
</file>